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10656"/>
      </w:tblGrid>
      <w:tr w:rsidR="00A1205A">
        <w:tc>
          <w:tcPr>
            <w:tcW w:w="0" w:type="auto"/>
          </w:tcPr>
          <w:p w:rsidR="00A1205A" w:rsidRDefault="006F67B9">
            <w:bookmarkStart w:id="0" w:name="_GoBack"/>
            <w:bookmarkEnd w:id="0"/>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00001" o:spid="_x0000_s1027" type="#_x0000_t75" style="position:absolute;left:0;text-align:left;margin-left:0;margin-top:0;width:214.45pt;height:81.75pt;z-index:1;visibility:visible;mso-wrap-style:square;mso-wrap-distance-left:9pt;mso-wrap-distance-top:0;mso-wrap-distance-right:9pt;mso-wrap-distance-bottom:0;mso-position-horizontal:left;mso-position-horizontal-relative:text;mso-position-vertical:top;mso-position-vertical-relative:text">
                  <v:imagedata r:id="rId9" o:title=""/>
                  <w10:wrap type="topAndBottom"/>
                </v:shape>
              </w:pict>
            </w:r>
            <w:r>
              <w:rPr>
                <w:noProof/>
              </w:rPr>
              <w:pict>
                <v:shape id="Picture 100002" o:spid="_x0000_s1026" type="#_x0000_t75" style="position:absolute;left:0;text-align:left;margin-left:347.7pt;margin-top:0;width:225.05pt;height:75.75pt;z-index:2;visibility:visible;mso-wrap-style:square;mso-wrap-distance-left:9pt;mso-wrap-distance-top:0;mso-wrap-distance-right:9pt;mso-wrap-distance-bottom:0;mso-position-horizontal:right;mso-position-horizontal-relative:text;mso-position-vertical:top;mso-position-vertical-relative:text">
                  <v:imagedata r:id="rId10" o:title=""/>
                  <w10:wrap type="topAndBottom"/>
                </v:shape>
              </w:pict>
            </w:r>
          </w:p>
        </w:tc>
      </w:tr>
      <w:tr w:rsidR="00A1205A">
        <w:tc>
          <w:tcPr>
            <w:tcW w:w="0" w:type="auto"/>
          </w:tcPr>
          <w:p w:rsidR="00A1205A" w:rsidRDefault="009E0DC1">
            <w:pPr>
              <w:pStyle w:val="Title"/>
            </w:pPr>
            <w:r>
              <w:t>Годишен доклад за изпълнението</w:t>
            </w:r>
          </w:p>
          <w:p w:rsidR="00A1205A" w:rsidRDefault="009E0DC1">
            <w:pPr>
              <w:pStyle w:val="Title"/>
            </w:pPr>
            <w:r>
              <w:t>Bulgaria - Rural Development Programme (National)</w:t>
            </w:r>
          </w:p>
          <w:p w:rsidR="00A1205A" w:rsidRDefault="00A1205A"/>
        </w:tc>
      </w:tr>
      <w:tr w:rsidR="00A1205A">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A1205A">
              <w:tc>
                <w:tcPr>
                  <w:tcW w:w="0" w:type="auto"/>
                  <w:gridSpan w:val="2"/>
                  <w:shd w:val="clear" w:color="auto" w:fill="C0C0C0"/>
                </w:tcPr>
                <w:p w:rsidR="00A1205A" w:rsidRDefault="009E0DC1">
                  <w:pPr>
                    <w:jc w:val="center"/>
                    <w:rPr>
                      <w:b/>
                    </w:rPr>
                  </w:pPr>
                  <w:r>
                    <w:rPr>
                      <w:b/>
                    </w:rPr>
                    <w:t>Годишен доклад за изпълнението</w:t>
                  </w:r>
                </w:p>
              </w:tc>
            </w:tr>
            <w:tr w:rsidR="00A1205A">
              <w:tc>
                <w:tcPr>
                  <w:tcW w:w="0" w:type="auto"/>
                  <w:shd w:val="clear" w:color="auto" w:fill="FFFFFF"/>
                  <w:vAlign w:val="center"/>
                </w:tcPr>
                <w:p w:rsidR="00A1205A" w:rsidRDefault="009E0DC1">
                  <w:pPr>
                    <w:pStyle w:val="Caption"/>
                    <w:spacing w:before="40" w:after="40"/>
                    <w:jc w:val="center"/>
                  </w:pPr>
                  <w:r>
                    <w:t>Период</w:t>
                  </w:r>
                </w:p>
              </w:tc>
              <w:tc>
                <w:tcPr>
                  <w:tcW w:w="0" w:type="auto"/>
                  <w:shd w:val="clear" w:color="auto" w:fill="FFFFFF"/>
                  <w:vAlign w:val="center"/>
                </w:tcPr>
                <w:p w:rsidR="00A1205A" w:rsidRDefault="009E0DC1">
                  <w:pPr>
                    <w:spacing w:before="40" w:after="40"/>
                    <w:jc w:val="center"/>
                  </w:pPr>
                  <w:r>
                    <w:t>01/01/2016 - 31/12/2016</w:t>
                  </w:r>
                </w:p>
              </w:tc>
            </w:tr>
            <w:tr w:rsidR="00A1205A">
              <w:tc>
                <w:tcPr>
                  <w:tcW w:w="2500" w:type="pct"/>
                  <w:shd w:val="clear" w:color="auto" w:fill="FFFFFF"/>
                  <w:vAlign w:val="center"/>
                </w:tcPr>
                <w:p w:rsidR="00A1205A" w:rsidRDefault="009E0DC1">
                  <w:pPr>
                    <w:pStyle w:val="Caption"/>
                    <w:spacing w:before="40" w:after="40"/>
                    <w:jc w:val="center"/>
                  </w:pPr>
                  <w:r>
                    <w:t>Версия</w:t>
                  </w:r>
                </w:p>
              </w:tc>
              <w:tc>
                <w:tcPr>
                  <w:tcW w:w="2500" w:type="pct"/>
                  <w:shd w:val="clear" w:color="auto" w:fill="FFFFFF"/>
                  <w:vAlign w:val="center"/>
                </w:tcPr>
                <w:p w:rsidR="00A1205A" w:rsidRDefault="009E0DC1">
                  <w:pPr>
                    <w:spacing w:before="40" w:after="40"/>
                    <w:jc w:val="center"/>
                  </w:pPr>
                  <w:r>
                    <w:t>2016.0</w:t>
                  </w:r>
                </w:p>
              </w:tc>
            </w:tr>
            <w:tr w:rsidR="00A1205A">
              <w:tc>
                <w:tcPr>
                  <w:tcW w:w="2500" w:type="pct"/>
                  <w:shd w:val="clear" w:color="auto" w:fill="FFFFFF"/>
                  <w:vAlign w:val="center"/>
                </w:tcPr>
                <w:p w:rsidR="00A1205A" w:rsidRDefault="009E0DC1">
                  <w:pPr>
                    <w:pStyle w:val="Caption"/>
                    <w:spacing w:before="40" w:after="40"/>
                    <w:jc w:val="center"/>
                  </w:pPr>
                  <w:r>
                    <w:t>Статус — настоящ възел</w:t>
                  </w:r>
                </w:p>
              </w:tc>
              <w:tc>
                <w:tcPr>
                  <w:tcW w:w="2500" w:type="pct"/>
                  <w:shd w:val="clear" w:color="auto" w:fill="FFFFFF"/>
                  <w:vAlign w:val="center"/>
                </w:tcPr>
                <w:p w:rsidR="00A1205A" w:rsidRDefault="009E0DC1">
                  <w:pPr>
                    <w:spacing w:before="40" w:after="40"/>
                    <w:jc w:val="center"/>
                  </w:pPr>
                  <w:r>
                    <w:t>Готово за изпращане - Balgarija</w:t>
                  </w:r>
                </w:p>
              </w:tc>
            </w:tr>
            <w:tr w:rsidR="00A1205A">
              <w:tc>
                <w:tcPr>
                  <w:tcW w:w="2500" w:type="pct"/>
                  <w:shd w:val="clear" w:color="auto" w:fill="FFFFFF"/>
                  <w:vAlign w:val="center"/>
                </w:tcPr>
                <w:p w:rsidR="00A1205A" w:rsidRDefault="009E0DC1">
                  <w:pPr>
                    <w:pStyle w:val="Caption"/>
                    <w:spacing w:before="40" w:after="40"/>
                    <w:jc w:val="center"/>
                  </w:pPr>
                  <w:r>
                    <w:t>Национален референтен номер</w:t>
                  </w:r>
                </w:p>
              </w:tc>
              <w:tc>
                <w:tcPr>
                  <w:tcW w:w="2500" w:type="pct"/>
                  <w:shd w:val="clear" w:color="auto" w:fill="FFFFFF"/>
                  <w:vAlign w:val="center"/>
                </w:tcPr>
                <w:p w:rsidR="00A1205A" w:rsidRDefault="00A1205A">
                  <w:pPr>
                    <w:spacing w:before="40" w:after="40"/>
                    <w:jc w:val="center"/>
                  </w:pPr>
                </w:p>
              </w:tc>
            </w:tr>
            <w:tr w:rsidR="00A1205A">
              <w:tc>
                <w:tcPr>
                  <w:tcW w:w="2500" w:type="pct"/>
                  <w:shd w:val="clear" w:color="auto" w:fill="FFFFFF"/>
                  <w:vAlign w:val="center"/>
                </w:tcPr>
                <w:p w:rsidR="00A1205A" w:rsidRDefault="009E0DC1">
                  <w:pPr>
                    <w:pStyle w:val="Caption"/>
                    <w:spacing w:before="40" w:after="40"/>
                    <w:jc w:val="center"/>
                  </w:pPr>
                  <w:r>
                    <w:t>Дата на одобряване на комитет за наблюдение</w:t>
                  </w:r>
                </w:p>
              </w:tc>
              <w:tc>
                <w:tcPr>
                  <w:tcW w:w="2500" w:type="pct"/>
                  <w:shd w:val="clear" w:color="auto" w:fill="FFFFFF"/>
                  <w:vAlign w:val="center"/>
                </w:tcPr>
                <w:p w:rsidR="00A1205A" w:rsidRDefault="009E0DC1">
                  <w:pPr>
                    <w:spacing w:before="40" w:after="40"/>
                    <w:jc w:val="center"/>
                  </w:pPr>
                  <w:r>
                    <w:t>30/06/2017</w:t>
                  </w:r>
                </w:p>
              </w:tc>
            </w:tr>
          </w:tbl>
          <w:p w:rsidR="00A1205A" w:rsidRDefault="00A1205A"/>
        </w:tc>
      </w:tr>
      <w:tr w:rsidR="00A1205A">
        <w:tc>
          <w:tcPr>
            <w:tcW w:w="0" w:type="auto"/>
          </w:tcPr>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5"/>
              <w:gridCol w:w="5215"/>
            </w:tblGrid>
            <w:tr w:rsidR="00A1205A">
              <w:tc>
                <w:tcPr>
                  <w:tcW w:w="0" w:type="auto"/>
                  <w:gridSpan w:val="2"/>
                  <w:shd w:val="clear" w:color="auto" w:fill="C0C0C0"/>
                </w:tcPr>
                <w:p w:rsidR="00A1205A" w:rsidRDefault="009E0DC1">
                  <w:pPr>
                    <w:jc w:val="center"/>
                    <w:rPr>
                      <w:b/>
                    </w:rPr>
                  </w:pPr>
                  <w:r>
                    <w:rPr>
                      <w:b/>
                    </w:rPr>
                    <w:t>Версия на програмата в сила</w:t>
                  </w:r>
                </w:p>
              </w:tc>
            </w:tr>
            <w:tr w:rsidR="00A1205A">
              <w:tc>
                <w:tcPr>
                  <w:tcW w:w="2500" w:type="pct"/>
                  <w:shd w:val="clear" w:color="auto" w:fill="FFFFFF"/>
                  <w:vAlign w:val="center"/>
                </w:tcPr>
                <w:p w:rsidR="00A1205A" w:rsidRDefault="009E0DC1">
                  <w:pPr>
                    <w:pStyle w:val="Caption"/>
                    <w:spacing w:before="40" w:after="40"/>
                    <w:jc w:val="center"/>
                  </w:pPr>
                  <w:r>
                    <w:t>CCI</w:t>
                  </w:r>
                </w:p>
              </w:tc>
              <w:tc>
                <w:tcPr>
                  <w:tcW w:w="2500" w:type="pct"/>
                  <w:shd w:val="clear" w:color="auto" w:fill="FFFFFF"/>
                  <w:vAlign w:val="center"/>
                </w:tcPr>
                <w:p w:rsidR="00A1205A" w:rsidRDefault="009E0DC1">
                  <w:pPr>
                    <w:spacing w:before="40" w:after="40"/>
                    <w:jc w:val="center"/>
                  </w:pPr>
                  <w:r>
                    <w:t>2014BG06RDNP001</w:t>
                  </w:r>
                </w:p>
              </w:tc>
            </w:tr>
            <w:tr w:rsidR="00A1205A">
              <w:tc>
                <w:tcPr>
                  <w:tcW w:w="2500" w:type="pct"/>
                  <w:shd w:val="clear" w:color="auto" w:fill="FFFFFF"/>
                  <w:vAlign w:val="center"/>
                </w:tcPr>
                <w:p w:rsidR="00A1205A" w:rsidRDefault="009E0DC1">
                  <w:pPr>
                    <w:pStyle w:val="Caption"/>
                    <w:spacing w:before="40" w:after="40"/>
                    <w:jc w:val="center"/>
                  </w:pPr>
                  <w:r>
                    <w:t>Вид на програмата</w:t>
                  </w:r>
                </w:p>
              </w:tc>
              <w:tc>
                <w:tcPr>
                  <w:tcW w:w="2500" w:type="pct"/>
                  <w:shd w:val="clear" w:color="auto" w:fill="FFFFFF"/>
                  <w:vAlign w:val="center"/>
                </w:tcPr>
                <w:p w:rsidR="00A1205A" w:rsidRDefault="009E0DC1">
                  <w:pPr>
                    <w:spacing w:before="40" w:after="40"/>
                    <w:jc w:val="center"/>
                  </w:pPr>
                  <w:r>
                    <w:t>Програма за развитие на селските райони</w:t>
                  </w:r>
                </w:p>
              </w:tc>
            </w:tr>
            <w:tr w:rsidR="00A1205A">
              <w:tc>
                <w:tcPr>
                  <w:tcW w:w="2500" w:type="pct"/>
                  <w:shd w:val="clear" w:color="auto" w:fill="FFFFFF"/>
                  <w:vAlign w:val="center"/>
                </w:tcPr>
                <w:p w:rsidR="00A1205A" w:rsidRDefault="009E0DC1">
                  <w:pPr>
                    <w:pStyle w:val="Caption"/>
                    <w:spacing w:before="40" w:after="40"/>
                    <w:jc w:val="center"/>
                  </w:pPr>
                  <w:r>
                    <w:t>Държава</w:t>
                  </w:r>
                </w:p>
              </w:tc>
              <w:tc>
                <w:tcPr>
                  <w:tcW w:w="2500" w:type="pct"/>
                  <w:shd w:val="clear" w:color="auto" w:fill="FFFFFF"/>
                  <w:vAlign w:val="center"/>
                </w:tcPr>
                <w:p w:rsidR="00A1205A" w:rsidRDefault="009E0DC1">
                  <w:pPr>
                    <w:spacing w:before="40" w:after="40"/>
                    <w:jc w:val="center"/>
                  </w:pPr>
                  <w:r>
                    <w:t>България</w:t>
                  </w:r>
                </w:p>
              </w:tc>
            </w:tr>
            <w:tr w:rsidR="00A1205A">
              <w:tc>
                <w:tcPr>
                  <w:tcW w:w="2500" w:type="pct"/>
                  <w:shd w:val="clear" w:color="auto" w:fill="FFFFFF"/>
                  <w:vAlign w:val="center"/>
                </w:tcPr>
                <w:p w:rsidR="00A1205A" w:rsidRDefault="009E0DC1">
                  <w:pPr>
                    <w:pStyle w:val="Caption"/>
                    <w:spacing w:before="40" w:after="40"/>
                    <w:jc w:val="center"/>
                  </w:pPr>
                  <w:r>
                    <w:t>Регион</w:t>
                  </w:r>
                </w:p>
              </w:tc>
              <w:tc>
                <w:tcPr>
                  <w:tcW w:w="2500" w:type="pct"/>
                  <w:shd w:val="clear" w:color="auto" w:fill="FFFFFF"/>
                  <w:vAlign w:val="center"/>
                </w:tcPr>
                <w:p w:rsidR="00A1205A" w:rsidRDefault="009E0DC1">
                  <w:pPr>
                    <w:spacing w:before="40" w:after="40"/>
                    <w:jc w:val="center"/>
                  </w:pPr>
                  <w:r>
                    <w:t>BG - National</w:t>
                  </w:r>
                </w:p>
              </w:tc>
            </w:tr>
            <w:tr w:rsidR="00A1205A">
              <w:tc>
                <w:tcPr>
                  <w:tcW w:w="2500" w:type="pct"/>
                  <w:shd w:val="clear" w:color="auto" w:fill="FFFFFF"/>
                  <w:vAlign w:val="center"/>
                </w:tcPr>
                <w:p w:rsidR="00A1205A" w:rsidRDefault="009E0DC1">
                  <w:pPr>
                    <w:pStyle w:val="Caption"/>
                    <w:spacing w:before="40" w:after="40"/>
                    <w:jc w:val="center"/>
                  </w:pPr>
                  <w:r>
                    <w:t>Програмен период</w:t>
                  </w:r>
                </w:p>
              </w:tc>
              <w:tc>
                <w:tcPr>
                  <w:tcW w:w="2500" w:type="pct"/>
                  <w:shd w:val="clear" w:color="auto" w:fill="FFFFFF"/>
                  <w:vAlign w:val="center"/>
                </w:tcPr>
                <w:p w:rsidR="00A1205A" w:rsidRDefault="009E0DC1">
                  <w:pPr>
                    <w:spacing w:before="40" w:after="40"/>
                    <w:jc w:val="center"/>
                  </w:pPr>
                  <w:r>
                    <w:t>2014 - 2020</w:t>
                  </w:r>
                </w:p>
              </w:tc>
            </w:tr>
            <w:tr w:rsidR="00A1205A">
              <w:tc>
                <w:tcPr>
                  <w:tcW w:w="2500" w:type="pct"/>
                  <w:shd w:val="clear" w:color="auto" w:fill="FFFFFF"/>
                  <w:vAlign w:val="center"/>
                </w:tcPr>
                <w:p w:rsidR="00A1205A" w:rsidRDefault="009E0DC1">
                  <w:pPr>
                    <w:pStyle w:val="Caption"/>
                    <w:spacing w:before="40" w:after="40"/>
                    <w:jc w:val="center"/>
                  </w:pPr>
                  <w:r>
                    <w:t>Версия</w:t>
                  </w:r>
                </w:p>
              </w:tc>
              <w:tc>
                <w:tcPr>
                  <w:tcW w:w="2500" w:type="pct"/>
                  <w:shd w:val="clear" w:color="auto" w:fill="FFFFFF"/>
                  <w:vAlign w:val="center"/>
                </w:tcPr>
                <w:p w:rsidR="00A1205A" w:rsidRDefault="009E0DC1">
                  <w:pPr>
                    <w:spacing w:before="40" w:after="40"/>
                    <w:jc w:val="center"/>
                  </w:pPr>
                  <w:r>
                    <w:t>3.1</w:t>
                  </w:r>
                </w:p>
              </w:tc>
            </w:tr>
            <w:tr w:rsidR="00A1205A">
              <w:tc>
                <w:tcPr>
                  <w:tcW w:w="2500" w:type="pct"/>
                  <w:shd w:val="clear" w:color="auto" w:fill="FFFFFF"/>
                  <w:vAlign w:val="center"/>
                </w:tcPr>
                <w:p w:rsidR="00A1205A" w:rsidRDefault="009E0DC1">
                  <w:pPr>
                    <w:pStyle w:val="Caption"/>
                    <w:spacing w:before="40" w:after="40"/>
                    <w:jc w:val="center"/>
                  </w:pPr>
                  <w:r>
                    <w:t>Номер на решението</w:t>
                  </w:r>
                </w:p>
              </w:tc>
              <w:tc>
                <w:tcPr>
                  <w:tcW w:w="2500" w:type="pct"/>
                  <w:shd w:val="clear" w:color="auto" w:fill="FFFFFF"/>
                  <w:vAlign w:val="center"/>
                </w:tcPr>
                <w:p w:rsidR="00A1205A" w:rsidRDefault="009E0DC1">
                  <w:pPr>
                    <w:spacing w:before="40" w:after="40"/>
                    <w:jc w:val="center"/>
                  </w:pPr>
                  <w:r>
                    <w:t>C(2016)5957</w:t>
                  </w:r>
                </w:p>
              </w:tc>
            </w:tr>
            <w:tr w:rsidR="00A1205A">
              <w:tc>
                <w:tcPr>
                  <w:tcW w:w="2500" w:type="pct"/>
                  <w:shd w:val="clear" w:color="auto" w:fill="FFFFFF"/>
                  <w:vAlign w:val="center"/>
                </w:tcPr>
                <w:p w:rsidR="00A1205A" w:rsidRDefault="009E0DC1">
                  <w:pPr>
                    <w:pStyle w:val="Caption"/>
                    <w:spacing w:before="40" w:after="40"/>
                    <w:jc w:val="center"/>
                  </w:pPr>
                  <w:r>
                    <w:t>Дата на решението</w:t>
                  </w:r>
                </w:p>
              </w:tc>
              <w:tc>
                <w:tcPr>
                  <w:tcW w:w="2500" w:type="pct"/>
                  <w:shd w:val="clear" w:color="auto" w:fill="FFFFFF"/>
                  <w:vAlign w:val="center"/>
                </w:tcPr>
                <w:p w:rsidR="00A1205A" w:rsidRDefault="009E0DC1">
                  <w:pPr>
                    <w:spacing w:before="40" w:after="40"/>
                    <w:jc w:val="center"/>
                  </w:pPr>
                  <w:r>
                    <w:t>15/09/2016</w:t>
                  </w:r>
                </w:p>
              </w:tc>
            </w:tr>
            <w:tr w:rsidR="00A1205A">
              <w:tc>
                <w:tcPr>
                  <w:tcW w:w="2500" w:type="pct"/>
                  <w:shd w:val="clear" w:color="auto" w:fill="FFFFFF"/>
                  <w:vAlign w:val="center"/>
                </w:tcPr>
                <w:p w:rsidR="00A1205A" w:rsidRDefault="009E0DC1">
                  <w:pPr>
                    <w:pStyle w:val="Caption"/>
                    <w:spacing w:before="40" w:after="40"/>
                    <w:jc w:val="center"/>
                  </w:pPr>
                  <w:r>
                    <w:t>Управляващ орган</w:t>
                  </w:r>
                </w:p>
              </w:tc>
              <w:tc>
                <w:tcPr>
                  <w:tcW w:w="2500" w:type="pct"/>
                  <w:shd w:val="clear" w:color="auto" w:fill="FFFFFF"/>
                  <w:vAlign w:val="center"/>
                </w:tcPr>
                <w:p w:rsidR="00A1205A" w:rsidRDefault="009E0DC1">
                  <w:pPr>
                    <w:spacing w:before="40" w:after="40"/>
                    <w:jc w:val="center"/>
                  </w:pPr>
                  <w:r>
                    <w:t>Дирекция "Развитие на селските райони" (РСР) в Министерство на земеделието и храните.</w:t>
                  </w:r>
                </w:p>
              </w:tc>
            </w:tr>
          </w:tbl>
          <w:p w:rsidR="00A1205A" w:rsidRDefault="00A1205A"/>
        </w:tc>
      </w:tr>
    </w:tbl>
    <w:p w:rsidR="00A1205A" w:rsidRDefault="00A1205A">
      <w:pPr>
        <w:sectPr w:rsidR="00A1205A">
          <w:footerReference w:type="default" r:id="rId11"/>
          <w:headerReference w:type="first" r:id="rId12"/>
          <w:footerReference w:type="first" r:id="rId13"/>
          <w:pgSz w:w="12240" w:h="15840"/>
          <w:pgMar w:top="900" w:right="900" w:bottom="900" w:left="900" w:header="720" w:footer="720" w:gutter="0"/>
          <w:pgNumType w:start="1"/>
          <w:cols w:space="720"/>
          <w:vAlign w:val="both"/>
        </w:sectPr>
      </w:pPr>
    </w:p>
    <w:p w:rsidR="00A1205A" w:rsidRDefault="009E0DC1">
      <w:pPr>
        <w:jc w:val="center"/>
        <w:rPr>
          <w:b/>
          <w:sz w:val="32"/>
        </w:rPr>
      </w:pPr>
      <w:r>
        <w:rPr>
          <w:b/>
          <w:sz w:val="32"/>
        </w:rPr>
        <w:lastRenderedPageBreak/>
        <w:t>Съдържание</w:t>
      </w:r>
    </w:p>
    <w:p w:rsidR="00A1205A" w:rsidRDefault="00A1205A">
      <w:pPr>
        <w:jc w:val="center"/>
        <w:rPr>
          <w:b/>
          <w:sz w:val="32"/>
        </w:rPr>
      </w:pPr>
    </w:p>
    <w:p w:rsidR="00A1205A" w:rsidRDefault="009E0DC1">
      <w:pPr>
        <w:pStyle w:val="TOC1"/>
        <w:rPr>
          <w:rFonts w:ascii="Calibri" w:hAnsi="Calibri"/>
          <w:noProof/>
          <w:sz w:val="22"/>
        </w:rPr>
      </w:pPr>
      <w:r>
        <w:fldChar w:fldCharType="begin"/>
      </w:r>
      <w:r>
        <w:instrText>TOC \o "1-3" \h \z \u</w:instrText>
      </w:r>
      <w:r>
        <w:fldChar w:fldCharType="separate"/>
      </w:r>
      <w:hyperlink w:anchor="_Toc256000000" w:history="1">
        <w:r>
          <w:rPr>
            <w:rStyle w:val="Hyperlink"/>
          </w:rPr>
          <w:t>1. Ключова информация относно изпълнението на програмата и нейните приоритети</w:t>
        </w:r>
        <w:r>
          <w:tab/>
        </w:r>
        <w:r>
          <w:fldChar w:fldCharType="begin"/>
        </w:r>
        <w:r>
          <w:instrText xml:space="preserve"> PAGEREF _Toc256000000 \h </w:instrText>
        </w:r>
        <w:r>
          <w:fldChar w:fldCharType="separate"/>
        </w:r>
        <w:r>
          <w:t>8</w:t>
        </w:r>
        <w:r>
          <w:fldChar w:fldCharType="end"/>
        </w:r>
      </w:hyperlink>
    </w:p>
    <w:p w:rsidR="00A1205A" w:rsidRDefault="006F67B9">
      <w:pPr>
        <w:pStyle w:val="TOC2"/>
        <w:rPr>
          <w:rFonts w:ascii="Calibri" w:hAnsi="Calibri"/>
          <w:noProof/>
          <w:sz w:val="22"/>
        </w:rPr>
      </w:pPr>
      <w:hyperlink w:anchor="_Toc256000001" w:history="1">
        <w:r w:rsidR="009E0DC1">
          <w:rPr>
            <w:rStyle w:val="Hyperlink"/>
          </w:rPr>
          <w:t>1.a) Финансови данни</w:t>
        </w:r>
        <w:r w:rsidR="009E0DC1">
          <w:tab/>
        </w:r>
        <w:r w:rsidR="009E0DC1">
          <w:fldChar w:fldCharType="begin"/>
        </w:r>
        <w:r w:rsidR="009E0DC1">
          <w:instrText xml:space="preserve"> PAGEREF _Toc256000001 \h </w:instrText>
        </w:r>
        <w:r w:rsidR="009E0DC1">
          <w:fldChar w:fldCharType="separate"/>
        </w:r>
        <w:r w:rsidR="009E0DC1">
          <w:t>8</w:t>
        </w:r>
        <w:r w:rsidR="009E0DC1">
          <w:fldChar w:fldCharType="end"/>
        </w:r>
      </w:hyperlink>
    </w:p>
    <w:p w:rsidR="00A1205A" w:rsidRDefault="006F67B9">
      <w:pPr>
        <w:pStyle w:val="TOC2"/>
        <w:rPr>
          <w:rFonts w:ascii="Calibri" w:hAnsi="Calibri"/>
          <w:noProof/>
          <w:sz w:val="22"/>
        </w:rPr>
      </w:pPr>
      <w:hyperlink w:anchor="_Toc256000002" w:history="1">
        <w:r w:rsidR="009E0DC1">
          <w:rPr>
            <w:rStyle w:val="Hyperlink"/>
          </w:rPr>
          <w:t>1.b) Общи и специфични за програмата показатели и количествени целеви стойности</w:t>
        </w:r>
        <w:r w:rsidR="009E0DC1">
          <w:tab/>
        </w:r>
        <w:r w:rsidR="009E0DC1">
          <w:fldChar w:fldCharType="begin"/>
        </w:r>
        <w:r w:rsidR="009E0DC1">
          <w:instrText xml:space="preserve"> PAGEREF _Toc256000002 \h </w:instrText>
        </w:r>
        <w:r w:rsidR="009E0DC1">
          <w:fldChar w:fldCharType="separate"/>
        </w:r>
        <w:r w:rsidR="009E0DC1">
          <w:t>8</w:t>
        </w:r>
        <w:r w:rsidR="009E0DC1">
          <w:fldChar w:fldCharType="end"/>
        </w:r>
      </w:hyperlink>
    </w:p>
    <w:p w:rsidR="00A1205A" w:rsidRDefault="006F67B9">
      <w:pPr>
        <w:pStyle w:val="TOC3"/>
        <w:rPr>
          <w:rFonts w:ascii="Calibri" w:hAnsi="Calibri"/>
          <w:noProof/>
          <w:sz w:val="22"/>
        </w:rPr>
      </w:pPr>
      <w:hyperlink w:anchor="_Toc256000003" w:history="1">
        <w:r w:rsidR="009E0DC1">
          <w:rPr>
            <w:rStyle w:val="Hyperlink"/>
          </w:rPr>
          <w:t>1.b1) Таблица с общ преглед</w:t>
        </w:r>
        <w:r w:rsidR="009E0DC1">
          <w:tab/>
        </w:r>
        <w:r w:rsidR="009E0DC1">
          <w:fldChar w:fldCharType="begin"/>
        </w:r>
        <w:r w:rsidR="009E0DC1">
          <w:instrText xml:space="preserve"> PAGEREF _Toc256000003 \h </w:instrText>
        </w:r>
        <w:r w:rsidR="009E0DC1">
          <w:fldChar w:fldCharType="separate"/>
        </w:r>
        <w:r w:rsidR="009E0DC1">
          <w:t>8</w:t>
        </w:r>
        <w:r w:rsidR="009E0DC1">
          <w:fldChar w:fldCharType="end"/>
        </w:r>
      </w:hyperlink>
    </w:p>
    <w:p w:rsidR="00A1205A" w:rsidRDefault="006F67B9">
      <w:pPr>
        <w:pStyle w:val="TOC2"/>
        <w:rPr>
          <w:rFonts w:ascii="Calibri" w:hAnsi="Calibri"/>
          <w:noProof/>
          <w:sz w:val="22"/>
        </w:rPr>
      </w:pPr>
      <w:hyperlink w:anchor="_Toc256000004" w:history="1">
        <w:r w:rsidR="009E0DC1">
          <w:rPr>
            <w:rStyle w:val="Hyperlink"/>
          </w:rPr>
          <w:t>1.c) Ключова информация относно изпълнението на ПРСР въз основа на данни от a) и б) по акцентирани области</w:t>
        </w:r>
        <w:r w:rsidR="009E0DC1">
          <w:tab/>
        </w:r>
        <w:r w:rsidR="009E0DC1">
          <w:fldChar w:fldCharType="begin"/>
        </w:r>
        <w:r w:rsidR="009E0DC1">
          <w:instrText xml:space="preserve"> PAGEREF _Toc256000004 \h </w:instrText>
        </w:r>
        <w:r w:rsidR="009E0DC1">
          <w:fldChar w:fldCharType="separate"/>
        </w:r>
        <w:r w:rsidR="009E0DC1">
          <w:t>17</w:t>
        </w:r>
        <w:r w:rsidR="009E0DC1">
          <w:fldChar w:fldCharType="end"/>
        </w:r>
      </w:hyperlink>
    </w:p>
    <w:p w:rsidR="00A1205A" w:rsidRDefault="006F67B9">
      <w:pPr>
        <w:pStyle w:val="TOC2"/>
        <w:rPr>
          <w:rFonts w:ascii="Calibri" w:hAnsi="Calibri"/>
          <w:noProof/>
          <w:sz w:val="22"/>
        </w:rPr>
      </w:pPr>
      <w:hyperlink w:anchor="_Toc256000005" w:history="1">
        <w:r w:rsidR="009E0DC1">
          <w:rPr>
            <w:rStyle w:val="Hyperlink"/>
          </w:rPr>
          <w:t>1.d) Ключова информация относно постиженията във връзка с етапните цели, определени в рамката на изпълнението въз основа на таблица Е</w:t>
        </w:r>
        <w:r w:rsidR="009E0DC1">
          <w:tab/>
        </w:r>
        <w:r w:rsidR="009E0DC1">
          <w:fldChar w:fldCharType="begin"/>
        </w:r>
        <w:r w:rsidR="009E0DC1">
          <w:instrText xml:space="preserve"> PAGEREF _Toc256000005 \h </w:instrText>
        </w:r>
        <w:r w:rsidR="009E0DC1">
          <w:fldChar w:fldCharType="separate"/>
        </w:r>
        <w:r w:rsidR="009E0DC1">
          <w:t>51</w:t>
        </w:r>
        <w:r w:rsidR="009E0DC1">
          <w:fldChar w:fldCharType="end"/>
        </w:r>
      </w:hyperlink>
    </w:p>
    <w:p w:rsidR="00A1205A" w:rsidRDefault="006F67B9">
      <w:pPr>
        <w:pStyle w:val="TOC2"/>
        <w:rPr>
          <w:rFonts w:ascii="Calibri" w:hAnsi="Calibri"/>
          <w:noProof/>
          <w:sz w:val="22"/>
        </w:rPr>
      </w:pPr>
      <w:hyperlink w:anchor="_Toc256000006" w:history="1">
        <w:r w:rsidR="009E0DC1">
          <w:rPr>
            <w:rStyle w:val="Hyperlink"/>
          </w:rPr>
          <w:t>1.e) Друг конкретен елемент по ПРСР [незадължително]</w:t>
        </w:r>
        <w:r w:rsidR="009E0DC1">
          <w:tab/>
        </w:r>
        <w:r w:rsidR="009E0DC1">
          <w:fldChar w:fldCharType="begin"/>
        </w:r>
        <w:r w:rsidR="009E0DC1">
          <w:instrText xml:space="preserve"> PAGEREF _Toc256000006 \h </w:instrText>
        </w:r>
        <w:r w:rsidR="009E0DC1">
          <w:fldChar w:fldCharType="separate"/>
        </w:r>
        <w:r w:rsidR="009E0DC1">
          <w:t>54</w:t>
        </w:r>
        <w:r w:rsidR="009E0DC1">
          <w:fldChar w:fldCharType="end"/>
        </w:r>
      </w:hyperlink>
    </w:p>
    <w:p w:rsidR="00A1205A" w:rsidRDefault="006F67B9">
      <w:pPr>
        <w:pStyle w:val="TOC1"/>
        <w:rPr>
          <w:rFonts w:ascii="Calibri" w:hAnsi="Calibri"/>
          <w:noProof/>
          <w:sz w:val="22"/>
        </w:rPr>
      </w:pPr>
      <w:hyperlink w:anchor="_Toc256000007" w:history="1">
        <w:r w:rsidR="009E0DC1">
          <w:rPr>
            <w:rStyle w:val="Hyperlink"/>
          </w:rPr>
          <w:t>2. Напредъкът в изпълнението на плана за оценка</w:t>
        </w:r>
        <w:r w:rsidR="009E0DC1">
          <w:tab/>
        </w:r>
        <w:r w:rsidR="009E0DC1">
          <w:fldChar w:fldCharType="begin"/>
        </w:r>
        <w:r w:rsidR="009E0DC1">
          <w:instrText xml:space="preserve"> PAGEREF _Toc256000007 \h </w:instrText>
        </w:r>
        <w:r w:rsidR="009E0DC1">
          <w:fldChar w:fldCharType="separate"/>
        </w:r>
        <w:r w:rsidR="009E0DC1">
          <w:t>56</w:t>
        </w:r>
        <w:r w:rsidR="009E0DC1">
          <w:fldChar w:fldCharType="end"/>
        </w:r>
      </w:hyperlink>
    </w:p>
    <w:p w:rsidR="00A1205A" w:rsidRDefault="006F67B9">
      <w:pPr>
        <w:pStyle w:val="TOC2"/>
        <w:rPr>
          <w:rFonts w:ascii="Calibri" w:hAnsi="Calibri"/>
          <w:noProof/>
          <w:sz w:val="22"/>
        </w:rPr>
      </w:pPr>
      <w:hyperlink w:anchor="_Toc256000008" w:history="1">
        <w:r w:rsidR="009E0DC1">
          <w:rPr>
            <w:rStyle w:val="Hyperlink"/>
          </w:rPr>
          <w:t>2.a) Описание на евентуални изменения, направени в плана за оценка на ПРСР през годината, със съответната обосновка</w:t>
        </w:r>
        <w:r w:rsidR="009E0DC1">
          <w:tab/>
        </w:r>
        <w:r w:rsidR="009E0DC1">
          <w:fldChar w:fldCharType="begin"/>
        </w:r>
        <w:r w:rsidR="009E0DC1">
          <w:instrText xml:space="preserve"> PAGEREF _Toc256000008 \h </w:instrText>
        </w:r>
        <w:r w:rsidR="009E0DC1">
          <w:fldChar w:fldCharType="separate"/>
        </w:r>
        <w:r w:rsidR="009E0DC1">
          <w:t>56</w:t>
        </w:r>
        <w:r w:rsidR="009E0DC1">
          <w:fldChar w:fldCharType="end"/>
        </w:r>
      </w:hyperlink>
    </w:p>
    <w:p w:rsidR="00A1205A" w:rsidRDefault="006F67B9">
      <w:pPr>
        <w:pStyle w:val="TOC2"/>
        <w:rPr>
          <w:rFonts w:ascii="Calibri" w:hAnsi="Calibri"/>
          <w:noProof/>
          <w:sz w:val="22"/>
        </w:rPr>
      </w:pPr>
      <w:hyperlink w:anchor="_Toc256000009" w:history="1">
        <w:r w:rsidR="009E0DC1">
          <w:rPr>
            <w:rStyle w:val="Hyperlink"/>
          </w:rPr>
          <w:t>2.b) Описание на предприетите дейности за оценка през годината (във връзка с раздел 3 на плана за оценка)</w:t>
        </w:r>
        <w:r w:rsidR="009E0DC1">
          <w:tab/>
        </w:r>
        <w:r w:rsidR="009E0DC1">
          <w:fldChar w:fldCharType="begin"/>
        </w:r>
        <w:r w:rsidR="009E0DC1">
          <w:instrText xml:space="preserve"> PAGEREF _Toc256000009 \h </w:instrText>
        </w:r>
        <w:r w:rsidR="009E0DC1">
          <w:fldChar w:fldCharType="separate"/>
        </w:r>
        <w:r w:rsidR="009E0DC1">
          <w:t>56</w:t>
        </w:r>
        <w:r w:rsidR="009E0DC1">
          <w:fldChar w:fldCharType="end"/>
        </w:r>
      </w:hyperlink>
    </w:p>
    <w:p w:rsidR="00A1205A" w:rsidRDefault="006F67B9">
      <w:pPr>
        <w:pStyle w:val="TOC2"/>
        <w:rPr>
          <w:rFonts w:ascii="Calibri" w:hAnsi="Calibri"/>
          <w:noProof/>
          <w:sz w:val="22"/>
        </w:rPr>
      </w:pPr>
      <w:hyperlink w:anchor="_Toc256000010" w:history="1">
        <w:r w:rsidR="009E0DC1">
          <w:rPr>
            <w:rStyle w:val="Hyperlink"/>
          </w:rPr>
          <w:t>2.c) Описание на дейностите, предприети по отношение на предоставянето и управлението на данни (във връзка с раздел 4 на плана за оценка)</w:t>
        </w:r>
        <w:r w:rsidR="009E0DC1">
          <w:tab/>
        </w:r>
        <w:r w:rsidR="009E0DC1">
          <w:fldChar w:fldCharType="begin"/>
        </w:r>
        <w:r w:rsidR="009E0DC1">
          <w:instrText xml:space="preserve"> PAGEREF _Toc256000010 \h </w:instrText>
        </w:r>
        <w:r w:rsidR="009E0DC1">
          <w:fldChar w:fldCharType="separate"/>
        </w:r>
        <w:r w:rsidR="009E0DC1">
          <w:t>56</w:t>
        </w:r>
        <w:r w:rsidR="009E0DC1">
          <w:fldChar w:fldCharType="end"/>
        </w:r>
      </w:hyperlink>
    </w:p>
    <w:p w:rsidR="00A1205A" w:rsidRDefault="006F67B9">
      <w:pPr>
        <w:pStyle w:val="TOC2"/>
        <w:rPr>
          <w:rFonts w:ascii="Calibri" w:hAnsi="Calibri"/>
          <w:noProof/>
          <w:sz w:val="22"/>
        </w:rPr>
      </w:pPr>
      <w:hyperlink w:anchor="_Toc256000011" w:history="1">
        <w:r w:rsidR="009E0DC1">
          <w:rPr>
            <w:rStyle w:val="Hyperlink"/>
          </w:rPr>
          <w:t>2.d) Списък на завършените оценки, включително посочване на местата, където те са публикувани в интернет</w:t>
        </w:r>
        <w:r w:rsidR="009E0DC1">
          <w:tab/>
        </w:r>
        <w:r w:rsidR="009E0DC1">
          <w:fldChar w:fldCharType="begin"/>
        </w:r>
        <w:r w:rsidR="009E0DC1">
          <w:instrText xml:space="preserve"> PAGEREF _Toc256000011 \h </w:instrText>
        </w:r>
        <w:r w:rsidR="009E0DC1">
          <w:fldChar w:fldCharType="separate"/>
        </w:r>
        <w:r w:rsidR="009E0DC1">
          <w:t>58</w:t>
        </w:r>
        <w:r w:rsidR="009E0DC1">
          <w:fldChar w:fldCharType="end"/>
        </w:r>
      </w:hyperlink>
    </w:p>
    <w:p w:rsidR="00A1205A" w:rsidRDefault="006F67B9">
      <w:pPr>
        <w:pStyle w:val="TOC2"/>
        <w:rPr>
          <w:rFonts w:ascii="Calibri" w:hAnsi="Calibri"/>
          <w:noProof/>
          <w:sz w:val="22"/>
        </w:rPr>
      </w:pPr>
      <w:hyperlink w:anchor="_Toc256000012" w:history="1">
        <w:r w:rsidR="009E0DC1">
          <w:rPr>
            <w:rStyle w:val="Hyperlink"/>
          </w:rPr>
          <w:t>2.e) Резюме на приключени оценки, което се съсредоточава върху заключенията от тях</w:t>
        </w:r>
        <w:r w:rsidR="009E0DC1">
          <w:tab/>
        </w:r>
        <w:r w:rsidR="009E0DC1">
          <w:fldChar w:fldCharType="begin"/>
        </w:r>
        <w:r w:rsidR="009E0DC1">
          <w:instrText xml:space="preserve"> PAGEREF _Toc256000012 \h </w:instrText>
        </w:r>
        <w:r w:rsidR="009E0DC1">
          <w:fldChar w:fldCharType="separate"/>
        </w:r>
        <w:r w:rsidR="009E0DC1">
          <w:t>59</w:t>
        </w:r>
        <w:r w:rsidR="009E0DC1">
          <w:fldChar w:fldCharType="end"/>
        </w:r>
      </w:hyperlink>
    </w:p>
    <w:p w:rsidR="00A1205A" w:rsidRDefault="006F67B9">
      <w:pPr>
        <w:pStyle w:val="TOC2"/>
        <w:rPr>
          <w:rFonts w:ascii="Calibri" w:hAnsi="Calibri"/>
          <w:noProof/>
          <w:sz w:val="22"/>
        </w:rPr>
      </w:pPr>
      <w:hyperlink w:anchor="_Toc256000013" w:history="1">
        <w:r w:rsidR="009E0DC1">
          <w:rPr>
            <w:rStyle w:val="Hyperlink"/>
          </w:rPr>
          <w:t>2.f) Описание на дейностите, предприети по отношение на публикуването на констатациите от оценката (във връзка с раздел 6 на плана за оценка)</w:t>
        </w:r>
        <w:r w:rsidR="009E0DC1">
          <w:tab/>
        </w:r>
        <w:r w:rsidR="009E0DC1">
          <w:fldChar w:fldCharType="begin"/>
        </w:r>
        <w:r w:rsidR="009E0DC1">
          <w:instrText xml:space="preserve"> PAGEREF _Toc256000013 \h </w:instrText>
        </w:r>
        <w:r w:rsidR="009E0DC1">
          <w:fldChar w:fldCharType="separate"/>
        </w:r>
        <w:r w:rsidR="009E0DC1">
          <w:t>62</w:t>
        </w:r>
        <w:r w:rsidR="009E0DC1">
          <w:fldChar w:fldCharType="end"/>
        </w:r>
      </w:hyperlink>
    </w:p>
    <w:p w:rsidR="00A1205A" w:rsidRDefault="006F67B9">
      <w:pPr>
        <w:pStyle w:val="TOC2"/>
        <w:rPr>
          <w:rFonts w:ascii="Calibri" w:hAnsi="Calibri"/>
          <w:noProof/>
          <w:sz w:val="22"/>
        </w:rPr>
      </w:pPr>
      <w:hyperlink w:anchor="_Toc256000014" w:history="1">
        <w:r w:rsidR="009E0DC1">
          <w:rPr>
            <w:rStyle w:val="Hyperlink"/>
          </w:rPr>
          <w:t>2.g) Описание на предприетите последващи действия във връзка с резултатите от оценката (във връзка с раздел 6 на плана за оценка)</w:t>
        </w:r>
        <w:r w:rsidR="009E0DC1">
          <w:tab/>
        </w:r>
        <w:r w:rsidR="009E0DC1">
          <w:fldChar w:fldCharType="begin"/>
        </w:r>
        <w:r w:rsidR="009E0DC1">
          <w:instrText xml:space="preserve"> PAGEREF _Toc256000014 \h </w:instrText>
        </w:r>
        <w:r w:rsidR="009E0DC1">
          <w:fldChar w:fldCharType="separate"/>
        </w:r>
        <w:r w:rsidR="009E0DC1">
          <w:t>63</w:t>
        </w:r>
        <w:r w:rsidR="009E0DC1">
          <w:fldChar w:fldCharType="end"/>
        </w:r>
      </w:hyperlink>
    </w:p>
    <w:p w:rsidR="00A1205A" w:rsidRDefault="006F67B9">
      <w:pPr>
        <w:pStyle w:val="TOC1"/>
        <w:rPr>
          <w:rFonts w:ascii="Calibri" w:hAnsi="Calibri"/>
          <w:noProof/>
          <w:sz w:val="22"/>
        </w:rPr>
      </w:pPr>
      <w:hyperlink w:anchor="_Toc256000015" w:history="1">
        <w:r w:rsidR="009E0DC1">
          <w:rPr>
            <w:rStyle w:val="Hyperlink"/>
          </w:rPr>
          <w:t>3. Проблеми, свързани с изпълнението на програмата и приетите мерки</w:t>
        </w:r>
        <w:r w:rsidR="009E0DC1">
          <w:tab/>
        </w:r>
        <w:r w:rsidR="009E0DC1">
          <w:fldChar w:fldCharType="begin"/>
        </w:r>
        <w:r w:rsidR="009E0DC1">
          <w:instrText xml:space="preserve"> PAGEREF _Toc256000015 \h </w:instrText>
        </w:r>
        <w:r w:rsidR="009E0DC1">
          <w:fldChar w:fldCharType="separate"/>
        </w:r>
        <w:r w:rsidR="009E0DC1">
          <w:t>64</w:t>
        </w:r>
        <w:r w:rsidR="009E0DC1">
          <w:fldChar w:fldCharType="end"/>
        </w:r>
      </w:hyperlink>
    </w:p>
    <w:p w:rsidR="00A1205A" w:rsidRDefault="006F67B9">
      <w:pPr>
        <w:pStyle w:val="TOC2"/>
        <w:rPr>
          <w:rFonts w:ascii="Calibri" w:hAnsi="Calibri"/>
          <w:noProof/>
          <w:sz w:val="22"/>
        </w:rPr>
      </w:pPr>
      <w:hyperlink w:anchor="_Toc256000016" w:history="1">
        <w:r w:rsidR="009E0DC1">
          <w:rPr>
            <w:rStyle w:val="Hyperlink"/>
          </w:rPr>
          <w:t>3.a) Описание на предприетите стъпки за осигуряване на качеството и ефективността на изпълнението на програмата</w:t>
        </w:r>
        <w:r w:rsidR="009E0DC1">
          <w:tab/>
        </w:r>
        <w:r w:rsidR="009E0DC1">
          <w:fldChar w:fldCharType="begin"/>
        </w:r>
        <w:r w:rsidR="009E0DC1">
          <w:instrText xml:space="preserve"> PAGEREF _Toc256000016 \h </w:instrText>
        </w:r>
        <w:r w:rsidR="009E0DC1">
          <w:fldChar w:fldCharType="separate"/>
        </w:r>
        <w:r w:rsidR="009E0DC1">
          <w:t>64</w:t>
        </w:r>
        <w:r w:rsidR="009E0DC1">
          <w:fldChar w:fldCharType="end"/>
        </w:r>
      </w:hyperlink>
    </w:p>
    <w:p w:rsidR="00A1205A" w:rsidRDefault="006F67B9">
      <w:pPr>
        <w:pStyle w:val="TOC2"/>
        <w:rPr>
          <w:rFonts w:ascii="Calibri" w:hAnsi="Calibri"/>
          <w:noProof/>
          <w:sz w:val="22"/>
        </w:rPr>
      </w:pPr>
      <w:hyperlink w:anchor="_Toc256000017" w:history="1">
        <w:r w:rsidR="009E0DC1">
          <w:rPr>
            <w:rStyle w:val="Hyperlink"/>
          </w:rPr>
          <w:t>3.b) Качество и ефикасност на механизмите за изпълнение</w:t>
        </w:r>
        <w:r w:rsidR="009E0DC1">
          <w:tab/>
        </w:r>
        <w:r w:rsidR="009E0DC1">
          <w:fldChar w:fldCharType="begin"/>
        </w:r>
        <w:r w:rsidR="009E0DC1">
          <w:instrText xml:space="preserve"> PAGEREF _Toc256000017 \h </w:instrText>
        </w:r>
        <w:r w:rsidR="009E0DC1">
          <w:fldChar w:fldCharType="separate"/>
        </w:r>
        <w:r w:rsidR="009E0DC1">
          <w:t>70</w:t>
        </w:r>
        <w:r w:rsidR="009E0DC1">
          <w:fldChar w:fldCharType="end"/>
        </w:r>
      </w:hyperlink>
    </w:p>
    <w:p w:rsidR="00A1205A" w:rsidRDefault="006F67B9">
      <w:pPr>
        <w:pStyle w:val="TOC1"/>
        <w:rPr>
          <w:rFonts w:ascii="Calibri" w:hAnsi="Calibri"/>
          <w:noProof/>
          <w:sz w:val="22"/>
        </w:rPr>
      </w:pPr>
      <w:hyperlink w:anchor="_Toc256000018" w:history="1">
        <w:r w:rsidR="009E0DC1">
          <w:rPr>
            <w:rStyle w:val="Hyperlink"/>
          </w:rPr>
          <w:t>4. Стъпки, предприети за прилагане на техническата помощ и изискванията за публичност на програмите</w:t>
        </w:r>
        <w:r w:rsidR="009E0DC1">
          <w:tab/>
        </w:r>
        <w:r w:rsidR="009E0DC1">
          <w:fldChar w:fldCharType="begin"/>
        </w:r>
        <w:r w:rsidR="009E0DC1">
          <w:instrText xml:space="preserve"> PAGEREF _Toc256000018 \h </w:instrText>
        </w:r>
        <w:r w:rsidR="009E0DC1">
          <w:fldChar w:fldCharType="separate"/>
        </w:r>
        <w:r w:rsidR="009E0DC1">
          <w:t>72</w:t>
        </w:r>
        <w:r w:rsidR="009E0DC1">
          <w:fldChar w:fldCharType="end"/>
        </w:r>
      </w:hyperlink>
    </w:p>
    <w:p w:rsidR="00A1205A" w:rsidRDefault="006F67B9">
      <w:pPr>
        <w:pStyle w:val="TOC2"/>
        <w:rPr>
          <w:rFonts w:ascii="Calibri" w:hAnsi="Calibri"/>
          <w:noProof/>
          <w:sz w:val="22"/>
        </w:rPr>
      </w:pPr>
      <w:hyperlink w:anchor="_Toc256000019" w:history="1">
        <w:r w:rsidR="009E0DC1">
          <w:rPr>
            <w:rStyle w:val="Hyperlink"/>
          </w:rPr>
          <w:t>4.a) Предприети действия и актуално състояние по отношение на създаването на НМСР и изпълнението на нейния план за действие</w:t>
        </w:r>
        <w:r w:rsidR="009E0DC1">
          <w:tab/>
        </w:r>
        <w:r w:rsidR="009E0DC1">
          <w:fldChar w:fldCharType="begin"/>
        </w:r>
        <w:r w:rsidR="009E0DC1">
          <w:instrText xml:space="preserve"> PAGEREF _Toc256000019 \h </w:instrText>
        </w:r>
        <w:r w:rsidR="009E0DC1">
          <w:fldChar w:fldCharType="separate"/>
        </w:r>
        <w:r w:rsidR="009E0DC1">
          <w:t>72</w:t>
        </w:r>
        <w:r w:rsidR="009E0DC1">
          <w:fldChar w:fldCharType="end"/>
        </w:r>
      </w:hyperlink>
    </w:p>
    <w:p w:rsidR="00A1205A" w:rsidRDefault="006F67B9">
      <w:pPr>
        <w:pStyle w:val="TOC3"/>
        <w:rPr>
          <w:rFonts w:ascii="Calibri" w:hAnsi="Calibri"/>
          <w:noProof/>
          <w:sz w:val="22"/>
        </w:rPr>
      </w:pPr>
      <w:hyperlink w:anchor="_Toc256000020" w:history="1">
        <w:r w:rsidR="009E0DC1">
          <w:rPr>
            <w:rStyle w:val="Hyperlink"/>
          </w:rPr>
          <w:t>4.a1) Предприети действия и актуално състояние по отношение на създаването на НМСР (структура на управление и звено за подкрепа на мрежата)</w:t>
        </w:r>
        <w:r w:rsidR="009E0DC1">
          <w:tab/>
        </w:r>
        <w:r w:rsidR="009E0DC1">
          <w:fldChar w:fldCharType="begin"/>
        </w:r>
        <w:r w:rsidR="009E0DC1">
          <w:instrText xml:space="preserve"> PAGEREF _Toc256000020 \h </w:instrText>
        </w:r>
        <w:r w:rsidR="009E0DC1">
          <w:fldChar w:fldCharType="separate"/>
        </w:r>
        <w:r w:rsidR="009E0DC1">
          <w:t>72</w:t>
        </w:r>
        <w:r w:rsidR="009E0DC1">
          <w:fldChar w:fldCharType="end"/>
        </w:r>
      </w:hyperlink>
    </w:p>
    <w:p w:rsidR="00A1205A" w:rsidRDefault="006F67B9">
      <w:pPr>
        <w:pStyle w:val="TOC3"/>
        <w:rPr>
          <w:rFonts w:ascii="Calibri" w:hAnsi="Calibri"/>
          <w:noProof/>
          <w:sz w:val="22"/>
        </w:rPr>
      </w:pPr>
      <w:hyperlink w:anchor="_Toc256000021" w:history="1">
        <w:r w:rsidR="009E0DC1">
          <w:rPr>
            <w:rStyle w:val="Hyperlink"/>
          </w:rPr>
          <w:t>4.a2) Предприетите действия и актуалното състояние по отношение на изпълнението на плана за действие</w:t>
        </w:r>
        <w:r w:rsidR="009E0DC1">
          <w:tab/>
        </w:r>
        <w:r w:rsidR="009E0DC1">
          <w:fldChar w:fldCharType="begin"/>
        </w:r>
        <w:r w:rsidR="009E0DC1">
          <w:instrText xml:space="preserve"> PAGEREF _Toc256000021 \h </w:instrText>
        </w:r>
        <w:r w:rsidR="009E0DC1">
          <w:fldChar w:fldCharType="separate"/>
        </w:r>
        <w:r w:rsidR="009E0DC1">
          <w:t>72</w:t>
        </w:r>
        <w:r w:rsidR="009E0DC1">
          <w:fldChar w:fldCharType="end"/>
        </w:r>
      </w:hyperlink>
    </w:p>
    <w:p w:rsidR="00A1205A" w:rsidRDefault="006F67B9">
      <w:pPr>
        <w:pStyle w:val="TOC2"/>
        <w:rPr>
          <w:rFonts w:ascii="Calibri" w:hAnsi="Calibri"/>
          <w:noProof/>
          <w:sz w:val="22"/>
        </w:rPr>
      </w:pPr>
      <w:hyperlink w:anchor="_Toc256000022" w:history="1">
        <w:r w:rsidR="009E0DC1">
          <w:rPr>
            <w:rStyle w:val="Hyperlink"/>
          </w:rPr>
          <w:t>4.b) Стъпки, предприети за осигуряване на публичност на програмата (член 13 от Регламент за изпълнение (ЕС) № 808/2014 на Комисията)</w:t>
        </w:r>
        <w:r w:rsidR="009E0DC1">
          <w:tab/>
        </w:r>
        <w:r w:rsidR="009E0DC1">
          <w:fldChar w:fldCharType="begin"/>
        </w:r>
        <w:r w:rsidR="009E0DC1">
          <w:instrText xml:space="preserve"> PAGEREF _Toc256000022 \h </w:instrText>
        </w:r>
        <w:r w:rsidR="009E0DC1">
          <w:fldChar w:fldCharType="separate"/>
        </w:r>
        <w:r w:rsidR="009E0DC1">
          <w:t>72</w:t>
        </w:r>
        <w:r w:rsidR="009E0DC1">
          <w:fldChar w:fldCharType="end"/>
        </w:r>
      </w:hyperlink>
    </w:p>
    <w:p w:rsidR="00A1205A" w:rsidRDefault="006F67B9">
      <w:pPr>
        <w:pStyle w:val="TOC1"/>
        <w:rPr>
          <w:rFonts w:ascii="Calibri" w:hAnsi="Calibri"/>
          <w:noProof/>
          <w:sz w:val="22"/>
        </w:rPr>
      </w:pPr>
      <w:hyperlink w:anchor="_Toc256000023" w:history="1">
        <w:r w:rsidR="009E0DC1">
          <w:rPr>
            <w:rStyle w:val="Hyperlink"/>
          </w:rPr>
          <w:t>5. Действия, предприети за изпълнение на предварителните условия</w:t>
        </w:r>
        <w:r w:rsidR="009E0DC1">
          <w:tab/>
        </w:r>
        <w:r w:rsidR="009E0DC1">
          <w:fldChar w:fldCharType="begin"/>
        </w:r>
        <w:r w:rsidR="009E0DC1">
          <w:instrText xml:space="preserve"> PAGEREF _Toc256000023 \h </w:instrText>
        </w:r>
        <w:r w:rsidR="009E0DC1">
          <w:fldChar w:fldCharType="separate"/>
        </w:r>
        <w:r w:rsidR="009E0DC1">
          <w:t>74</w:t>
        </w:r>
        <w:r w:rsidR="009E0DC1">
          <w:fldChar w:fldCharType="end"/>
        </w:r>
      </w:hyperlink>
    </w:p>
    <w:p w:rsidR="00A1205A" w:rsidRDefault="006F67B9">
      <w:pPr>
        <w:pStyle w:val="TOC2"/>
        <w:rPr>
          <w:rFonts w:ascii="Calibri" w:hAnsi="Calibri"/>
          <w:noProof/>
          <w:sz w:val="22"/>
        </w:rPr>
      </w:pPr>
      <w:hyperlink w:anchor="_Toc256000024" w:history="1">
        <w:r w:rsidR="009E0DC1">
          <w:rPr>
            <w:rStyle w:val="Hyperlink"/>
          </w:rPr>
          <w:t>5.a) Неизпълнени критерии за общите предварителните условия</w:t>
        </w:r>
        <w:r w:rsidR="009E0DC1">
          <w:tab/>
        </w:r>
        <w:r w:rsidR="009E0DC1">
          <w:fldChar w:fldCharType="begin"/>
        </w:r>
        <w:r w:rsidR="009E0DC1">
          <w:instrText xml:space="preserve"> PAGEREF _Toc256000024 \h </w:instrText>
        </w:r>
        <w:r w:rsidR="009E0DC1">
          <w:fldChar w:fldCharType="separate"/>
        </w:r>
        <w:r w:rsidR="009E0DC1">
          <w:t>74</w:t>
        </w:r>
        <w:r w:rsidR="009E0DC1">
          <w:fldChar w:fldCharType="end"/>
        </w:r>
      </w:hyperlink>
    </w:p>
    <w:p w:rsidR="00A1205A" w:rsidRDefault="006F67B9">
      <w:pPr>
        <w:pStyle w:val="TOC2"/>
        <w:rPr>
          <w:rFonts w:ascii="Calibri" w:hAnsi="Calibri"/>
          <w:noProof/>
          <w:sz w:val="22"/>
        </w:rPr>
      </w:pPr>
      <w:hyperlink w:anchor="_Toc256000025" w:history="1">
        <w:r w:rsidR="009E0DC1">
          <w:rPr>
            <w:rStyle w:val="Hyperlink"/>
          </w:rPr>
          <w:t>5.b) Действия, предприети за изпълнение на приложимите общи предварителни условия</w:t>
        </w:r>
        <w:r w:rsidR="009E0DC1">
          <w:tab/>
        </w:r>
        <w:r w:rsidR="009E0DC1">
          <w:fldChar w:fldCharType="begin"/>
        </w:r>
        <w:r w:rsidR="009E0DC1">
          <w:instrText xml:space="preserve"> PAGEREF _Toc256000025 \h </w:instrText>
        </w:r>
        <w:r w:rsidR="009E0DC1">
          <w:fldChar w:fldCharType="separate"/>
        </w:r>
        <w:r w:rsidR="009E0DC1">
          <w:t>75</w:t>
        </w:r>
        <w:r w:rsidR="009E0DC1">
          <w:fldChar w:fldCharType="end"/>
        </w:r>
      </w:hyperlink>
    </w:p>
    <w:p w:rsidR="00A1205A" w:rsidRDefault="006F67B9">
      <w:pPr>
        <w:pStyle w:val="TOC2"/>
        <w:rPr>
          <w:rFonts w:ascii="Calibri" w:hAnsi="Calibri"/>
          <w:noProof/>
          <w:sz w:val="22"/>
        </w:rPr>
      </w:pPr>
      <w:hyperlink w:anchor="_Toc256000026" w:history="1">
        <w:r w:rsidR="009E0DC1">
          <w:rPr>
            <w:rStyle w:val="Hyperlink"/>
          </w:rPr>
          <w:t>5.c) Неизпълнени критерии за свързаните с приоритет предварителни условия</w:t>
        </w:r>
        <w:r w:rsidR="009E0DC1">
          <w:tab/>
        </w:r>
        <w:r w:rsidR="009E0DC1">
          <w:fldChar w:fldCharType="begin"/>
        </w:r>
        <w:r w:rsidR="009E0DC1">
          <w:instrText xml:space="preserve"> PAGEREF _Toc256000026 \h </w:instrText>
        </w:r>
        <w:r w:rsidR="009E0DC1">
          <w:fldChar w:fldCharType="separate"/>
        </w:r>
        <w:r w:rsidR="009E0DC1">
          <w:t>79</w:t>
        </w:r>
        <w:r w:rsidR="009E0DC1">
          <w:fldChar w:fldCharType="end"/>
        </w:r>
      </w:hyperlink>
    </w:p>
    <w:p w:rsidR="00A1205A" w:rsidRDefault="006F67B9">
      <w:pPr>
        <w:pStyle w:val="TOC2"/>
        <w:rPr>
          <w:rFonts w:ascii="Calibri" w:hAnsi="Calibri"/>
          <w:noProof/>
          <w:sz w:val="22"/>
        </w:rPr>
      </w:pPr>
      <w:hyperlink w:anchor="_Toc256000027" w:history="1">
        <w:r w:rsidR="009E0DC1">
          <w:rPr>
            <w:rStyle w:val="Hyperlink"/>
          </w:rPr>
          <w:t>5.d) Действия, предприети за изпълнение на приложимите предварителни условия, свързани с приоритет</w:t>
        </w:r>
        <w:r w:rsidR="009E0DC1">
          <w:tab/>
        </w:r>
        <w:r w:rsidR="009E0DC1">
          <w:fldChar w:fldCharType="begin"/>
        </w:r>
        <w:r w:rsidR="009E0DC1">
          <w:instrText xml:space="preserve"> PAGEREF _Toc256000027 \h </w:instrText>
        </w:r>
        <w:r w:rsidR="009E0DC1">
          <w:fldChar w:fldCharType="separate"/>
        </w:r>
        <w:r w:rsidR="009E0DC1">
          <w:t>81</w:t>
        </w:r>
        <w:r w:rsidR="009E0DC1">
          <w:fldChar w:fldCharType="end"/>
        </w:r>
      </w:hyperlink>
    </w:p>
    <w:p w:rsidR="00A1205A" w:rsidRDefault="006F67B9">
      <w:pPr>
        <w:pStyle w:val="TOC2"/>
        <w:rPr>
          <w:rFonts w:ascii="Calibri" w:hAnsi="Calibri"/>
          <w:noProof/>
          <w:sz w:val="22"/>
        </w:rPr>
      </w:pPr>
      <w:hyperlink w:anchor="_Toc256000028" w:history="1">
        <w:r w:rsidR="009E0DC1">
          <w:rPr>
            <w:rStyle w:val="Hyperlink"/>
          </w:rPr>
          <w:t>5.e) (незадължително) допълнителна информация за допълване на информацията, предоставена в таблицата „Предприети действия“</w:t>
        </w:r>
        <w:r w:rsidR="009E0DC1">
          <w:tab/>
        </w:r>
        <w:r w:rsidR="009E0DC1">
          <w:fldChar w:fldCharType="begin"/>
        </w:r>
        <w:r w:rsidR="009E0DC1">
          <w:instrText xml:space="preserve"> PAGEREF _Toc256000028 \h </w:instrText>
        </w:r>
        <w:r w:rsidR="009E0DC1">
          <w:fldChar w:fldCharType="separate"/>
        </w:r>
        <w:r w:rsidR="009E0DC1">
          <w:t>85</w:t>
        </w:r>
        <w:r w:rsidR="009E0DC1">
          <w:fldChar w:fldCharType="end"/>
        </w:r>
      </w:hyperlink>
    </w:p>
    <w:p w:rsidR="00A1205A" w:rsidRDefault="006F67B9">
      <w:pPr>
        <w:pStyle w:val="TOC1"/>
        <w:rPr>
          <w:rFonts w:ascii="Calibri" w:hAnsi="Calibri"/>
          <w:noProof/>
          <w:sz w:val="22"/>
        </w:rPr>
      </w:pPr>
      <w:hyperlink w:anchor="_Toc256000029" w:history="1">
        <w:r w:rsidR="009E0DC1">
          <w:rPr>
            <w:rStyle w:val="Hyperlink"/>
          </w:rPr>
          <w:t>6. Описание на изпълнението на подпрограмите</w:t>
        </w:r>
        <w:r w:rsidR="009E0DC1">
          <w:tab/>
        </w:r>
        <w:r w:rsidR="009E0DC1">
          <w:fldChar w:fldCharType="begin"/>
        </w:r>
        <w:r w:rsidR="009E0DC1">
          <w:instrText xml:space="preserve"> PAGEREF _Toc256000029 \h </w:instrText>
        </w:r>
        <w:r w:rsidR="009E0DC1">
          <w:fldChar w:fldCharType="separate"/>
        </w:r>
        <w:r w:rsidR="009E0DC1">
          <w:t>86</w:t>
        </w:r>
        <w:r w:rsidR="009E0DC1">
          <w:fldChar w:fldCharType="end"/>
        </w:r>
      </w:hyperlink>
    </w:p>
    <w:p w:rsidR="00A1205A" w:rsidRDefault="006F67B9">
      <w:pPr>
        <w:pStyle w:val="TOC1"/>
        <w:rPr>
          <w:rFonts w:ascii="Calibri" w:hAnsi="Calibri"/>
          <w:noProof/>
          <w:sz w:val="22"/>
        </w:rPr>
      </w:pPr>
      <w:hyperlink w:anchor="_Toc256000030" w:history="1">
        <w:r w:rsidR="009E0DC1">
          <w:rPr>
            <w:rStyle w:val="Hyperlink"/>
          </w:rPr>
          <w:t>7. Оценка на информацията и напредъка в постигането на целите на програмата</w:t>
        </w:r>
        <w:r w:rsidR="009E0DC1">
          <w:tab/>
        </w:r>
        <w:r w:rsidR="009E0DC1">
          <w:fldChar w:fldCharType="begin"/>
        </w:r>
        <w:r w:rsidR="009E0DC1">
          <w:instrText xml:space="preserve"> PAGEREF _Toc256000030 \h </w:instrText>
        </w:r>
        <w:r w:rsidR="009E0DC1">
          <w:fldChar w:fldCharType="separate"/>
        </w:r>
        <w:r w:rsidR="009E0DC1">
          <w:t>89</w:t>
        </w:r>
        <w:r w:rsidR="009E0DC1">
          <w:fldChar w:fldCharType="end"/>
        </w:r>
      </w:hyperlink>
    </w:p>
    <w:p w:rsidR="00A1205A" w:rsidRDefault="006F67B9">
      <w:pPr>
        <w:pStyle w:val="TOC2"/>
        <w:rPr>
          <w:rFonts w:ascii="Calibri" w:hAnsi="Calibri"/>
          <w:noProof/>
          <w:sz w:val="22"/>
        </w:rPr>
      </w:pPr>
      <w:hyperlink w:anchor="_Toc256000031" w:history="1">
        <w:r w:rsidR="009E0DC1">
          <w:rPr>
            <w:rStyle w:val="Hyperlink"/>
          </w:rPr>
          <w:t>7.a) CEQ04-2A - До каква степен интервенциите по ПРСР са допринесли за подобряване на икономическите резултати, преструктурирането и модернизацията на подпомогнатите стопанства, в частност чрез увеличаване на тяхното участие на пазара и разнообразяването на селскостопанските дейности?</w:t>
        </w:r>
        <w:r w:rsidR="009E0DC1">
          <w:tab/>
        </w:r>
        <w:r w:rsidR="009E0DC1">
          <w:fldChar w:fldCharType="begin"/>
        </w:r>
        <w:r w:rsidR="009E0DC1">
          <w:instrText xml:space="preserve"> PAGEREF _Toc256000031 \h </w:instrText>
        </w:r>
        <w:r w:rsidR="009E0DC1">
          <w:fldChar w:fldCharType="separate"/>
        </w:r>
        <w:r w:rsidR="009E0DC1">
          <w:t>89</w:t>
        </w:r>
        <w:r w:rsidR="009E0DC1">
          <w:fldChar w:fldCharType="end"/>
        </w:r>
      </w:hyperlink>
    </w:p>
    <w:p w:rsidR="00A1205A" w:rsidRDefault="006F67B9">
      <w:pPr>
        <w:pStyle w:val="TOC3"/>
        <w:rPr>
          <w:rFonts w:ascii="Calibri" w:hAnsi="Calibri"/>
          <w:noProof/>
          <w:sz w:val="22"/>
        </w:rPr>
      </w:pPr>
      <w:hyperlink w:anchor="_Toc256000032" w:history="1">
        <w:r w:rsidR="009E0DC1">
          <w:rPr>
            <w:rStyle w:val="Hyperlink"/>
          </w:rPr>
          <w:t>7.a1) Списък на мерките, допринасящи за акцентираната област</w:t>
        </w:r>
        <w:r w:rsidR="009E0DC1">
          <w:tab/>
        </w:r>
        <w:r w:rsidR="009E0DC1">
          <w:fldChar w:fldCharType="begin"/>
        </w:r>
        <w:r w:rsidR="009E0DC1">
          <w:instrText xml:space="preserve"> PAGEREF _Toc256000032 \h </w:instrText>
        </w:r>
        <w:r w:rsidR="009E0DC1">
          <w:fldChar w:fldCharType="separate"/>
        </w:r>
        <w:r w:rsidR="009E0DC1">
          <w:t>89</w:t>
        </w:r>
        <w:r w:rsidR="009E0DC1">
          <w:fldChar w:fldCharType="end"/>
        </w:r>
      </w:hyperlink>
    </w:p>
    <w:p w:rsidR="00A1205A" w:rsidRDefault="006F67B9">
      <w:pPr>
        <w:pStyle w:val="TOC3"/>
        <w:rPr>
          <w:rFonts w:ascii="Calibri" w:hAnsi="Calibri"/>
          <w:noProof/>
          <w:sz w:val="22"/>
        </w:rPr>
      </w:pPr>
      <w:hyperlink w:anchor="_Toc256000033" w:history="1">
        <w:r w:rsidR="009E0DC1">
          <w:rPr>
            <w:rStyle w:val="Hyperlink"/>
          </w:rPr>
          <w:t>7.a2)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_Toc256000033 \h </w:instrText>
        </w:r>
        <w:r w:rsidR="009E0DC1">
          <w:fldChar w:fldCharType="separate"/>
        </w:r>
        <w:r w:rsidR="009E0DC1">
          <w:t>89</w:t>
        </w:r>
        <w:r w:rsidR="009E0DC1">
          <w:fldChar w:fldCharType="end"/>
        </w:r>
      </w:hyperlink>
    </w:p>
    <w:p w:rsidR="00A1205A" w:rsidRDefault="006F67B9">
      <w:pPr>
        <w:pStyle w:val="TOC3"/>
        <w:rPr>
          <w:rFonts w:ascii="Calibri" w:hAnsi="Calibri"/>
          <w:noProof/>
          <w:sz w:val="22"/>
        </w:rPr>
      </w:pPr>
      <w:hyperlink w:anchor="_Toc256000034" w:history="1">
        <w:r w:rsidR="009E0DC1">
          <w:rPr>
            <w:rStyle w:val="Hyperlink"/>
          </w:rPr>
          <w:t>7.a3) Прилагани методи</w:t>
        </w:r>
        <w:r w:rsidR="009E0DC1">
          <w:tab/>
        </w:r>
        <w:r w:rsidR="009E0DC1">
          <w:fldChar w:fldCharType="begin"/>
        </w:r>
        <w:r w:rsidR="009E0DC1">
          <w:instrText xml:space="preserve"> PAGEREF _Toc256000034 \h </w:instrText>
        </w:r>
        <w:r w:rsidR="009E0DC1">
          <w:fldChar w:fldCharType="separate"/>
        </w:r>
        <w:r w:rsidR="009E0DC1">
          <w:t>89</w:t>
        </w:r>
        <w:r w:rsidR="009E0DC1">
          <w:fldChar w:fldCharType="end"/>
        </w:r>
      </w:hyperlink>
    </w:p>
    <w:p w:rsidR="00A1205A" w:rsidRDefault="006F67B9">
      <w:pPr>
        <w:pStyle w:val="TOC3"/>
        <w:rPr>
          <w:rFonts w:ascii="Calibri" w:hAnsi="Calibri"/>
          <w:noProof/>
          <w:sz w:val="22"/>
        </w:rPr>
      </w:pPr>
      <w:hyperlink w:anchor="_Toc256000035" w:history="1">
        <w:r w:rsidR="009E0DC1">
          <w:rPr>
            <w:rStyle w:val="Hyperlink"/>
          </w:rPr>
          <w:t>7.a4) Количествени стойности на показателите и източници на данни</w:t>
        </w:r>
        <w:r w:rsidR="009E0DC1">
          <w:tab/>
        </w:r>
        <w:r w:rsidR="009E0DC1">
          <w:fldChar w:fldCharType="begin"/>
        </w:r>
        <w:r w:rsidR="009E0DC1">
          <w:instrText xml:space="preserve"> PAGEREF _Toc256000035 \h </w:instrText>
        </w:r>
        <w:r w:rsidR="009E0DC1">
          <w:fldChar w:fldCharType="separate"/>
        </w:r>
        <w:r w:rsidR="009E0DC1">
          <w:t>90</w:t>
        </w:r>
        <w:r w:rsidR="009E0DC1">
          <w:fldChar w:fldCharType="end"/>
        </w:r>
      </w:hyperlink>
    </w:p>
    <w:p w:rsidR="00A1205A" w:rsidRDefault="006F67B9">
      <w:pPr>
        <w:pStyle w:val="TOC3"/>
        <w:rPr>
          <w:rFonts w:ascii="Calibri" w:hAnsi="Calibri"/>
          <w:noProof/>
          <w:sz w:val="22"/>
        </w:rPr>
      </w:pPr>
      <w:hyperlink w:anchor="_Toc256000036" w:history="1">
        <w:r w:rsidR="009E0DC1">
          <w:rPr>
            <w:rStyle w:val="Hyperlink"/>
          </w:rPr>
          <w:t>7.a5)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_Toc256000036 \h </w:instrText>
        </w:r>
        <w:r w:rsidR="009E0DC1">
          <w:fldChar w:fldCharType="separate"/>
        </w:r>
        <w:r w:rsidR="009E0DC1">
          <w:t>90</w:t>
        </w:r>
        <w:r w:rsidR="009E0DC1">
          <w:fldChar w:fldCharType="end"/>
        </w:r>
      </w:hyperlink>
    </w:p>
    <w:p w:rsidR="00A1205A" w:rsidRDefault="006F67B9">
      <w:pPr>
        <w:pStyle w:val="TOC3"/>
        <w:rPr>
          <w:rFonts w:ascii="Calibri" w:hAnsi="Calibri"/>
          <w:noProof/>
          <w:sz w:val="22"/>
        </w:rPr>
      </w:pPr>
      <w:hyperlink w:anchor="_Toc256000037" w:history="1">
        <w:r w:rsidR="009E0DC1">
          <w:rPr>
            <w:rStyle w:val="Hyperlink"/>
          </w:rPr>
          <w:t>7.a6) Отговор на въпрос за оценка</w:t>
        </w:r>
        <w:r w:rsidR="009E0DC1">
          <w:tab/>
        </w:r>
        <w:r w:rsidR="009E0DC1">
          <w:fldChar w:fldCharType="begin"/>
        </w:r>
        <w:r w:rsidR="009E0DC1">
          <w:instrText xml:space="preserve"> PAGEREF _Toc256000037 \h </w:instrText>
        </w:r>
        <w:r w:rsidR="009E0DC1">
          <w:fldChar w:fldCharType="separate"/>
        </w:r>
        <w:r w:rsidR="009E0DC1">
          <w:t>91</w:t>
        </w:r>
        <w:r w:rsidR="009E0DC1">
          <w:fldChar w:fldCharType="end"/>
        </w:r>
      </w:hyperlink>
    </w:p>
    <w:p w:rsidR="00A1205A" w:rsidRDefault="006F67B9">
      <w:pPr>
        <w:pStyle w:val="TOC3"/>
        <w:rPr>
          <w:rFonts w:ascii="Calibri" w:hAnsi="Calibri"/>
          <w:noProof/>
          <w:sz w:val="22"/>
        </w:rPr>
      </w:pPr>
      <w:hyperlink w:anchor="_Toc256000038" w:history="1">
        <w:r w:rsidR="009E0DC1">
          <w:rPr>
            <w:rStyle w:val="Hyperlink"/>
          </w:rPr>
          <w:t>7.a7) Заключения и препоръки</w:t>
        </w:r>
        <w:r w:rsidR="009E0DC1">
          <w:tab/>
        </w:r>
        <w:r w:rsidR="009E0DC1">
          <w:fldChar w:fldCharType="begin"/>
        </w:r>
        <w:r w:rsidR="009E0DC1">
          <w:instrText xml:space="preserve"> PAGEREF _Toc256000038 \h </w:instrText>
        </w:r>
        <w:r w:rsidR="009E0DC1">
          <w:fldChar w:fldCharType="separate"/>
        </w:r>
        <w:r w:rsidR="009E0DC1">
          <w:t>92</w:t>
        </w:r>
        <w:r w:rsidR="009E0DC1">
          <w:fldChar w:fldCharType="end"/>
        </w:r>
      </w:hyperlink>
    </w:p>
    <w:p w:rsidR="00A1205A" w:rsidRDefault="006F67B9">
      <w:pPr>
        <w:pStyle w:val="TOC2"/>
        <w:rPr>
          <w:rFonts w:ascii="Calibri" w:hAnsi="Calibri"/>
          <w:noProof/>
          <w:sz w:val="22"/>
        </w:rPr>
      </w:pPr>
      <w:hyperlink w:anchor="_Toc256000039" w:history="1">
        <w:r w:rsidR="009E0DC1">
          <w:rPr>
            <w:rStyle w:val="Hyperlink"/>
          </w:rPr>
          <w:t>7.b) CEQ05-2B - До каква степен интервенциите по ПРСР са подпомогнали навлизането на земеделски стопани с подходяща квалификация в селскостопанския сектор, и по-специално приемствеността между поколенията?</w:t>
        </w:r>
        <w:r w:rsidR="009E0DC1">
          <w:tab/>
        </w:r>
        <w:r w:rsidR="009E0DC1">
          <w:fldChar w:fldCharType="begin"/>
        </w:r>
        <w:r w:rsidR="009E0DC1">
          <w:instrText xml:space="preserve"> PAGEREF _Toc256000039 \h </w:instrText>
        </w:r>
        <w:r w:rsidR="009E0DC1">
          <w:fldChar w:fldCharType="separate"/>
        </w:r>
        <w:r w:rsidR="009E0DC1">
          <w:t>92</w:t>
        </w:r>
        <w:r w:rsidR="009E0DC1">
          <w:fldChar w:fldCharType="end"/>
        </w:r>
      </w:hyperlink>
    </w:p>
    <w:p w:rsidR="00A1205A" w:rsidRDefault="006F67B9">
      <w:pPr>
        <w:pStyle w:val="TOC3"/>
        <w:rPr>
          <w:rFonts w:ascii="Calibri" w:hAnsi="Calibri"/>
          <w:noProof/>
          <w:sz w:val="22"/>
        </w:rPr>
      </w:pPr>
      <w:hyperlink w:anchor="_Toc256000040" w:history="1">
        <w:r w:rsidR="009E0DC1">
          <w:rPr>
            <w:rStyle w:val="Hyperlink"/>
          </w:rPr>
          <w:t>7.b1) Списък на мерките, допринасящи за акцентираната област</w:t>
        </w:r>
        <w:r w:rsidR="009E0DC1">
          <w:tab/>
        </w:r>
        <w:r w:rsidR="009E0DC1">
          <w:fldChar w:fldCharType="begin"/>
        </w:r>
        <w:r w:rsidR="009E0DC1">
          <w:instrText xml:space="preserve"> PAGEREF _Toc256000040 \h </w:instrText>
        </w:r>
        <w:r w:rsidR="009E0DC1">
          <w:fldChar w:fldCharType="separate"/>
        </w:r>
        <w:r w:rsidR="009E0DC1">
          <w:t>93</w:t>
        </w:r>
        <w:r w:rsidR="009E0DC1">
          <w:fldChar w:fldCharType="end"/>
        </w:r>
      </w:hyperlink>
    </w:p>
    <w:p w:rsidR="00A1205A" w:rsidRDefault="006F67B9">
      <w:pPr>
        <w:pStyle w:val="TOC3"/>
        <w:rPr>
          <w:rFonts w:ascii="Calibri" w:hAnsi="Calibri"/>
          <w:noProof/>
          <w:sz w:val="22"/>
        </w:rPr>
      </w:pPr>
      <w:hyperlink w:anchor="_Toc256000041" w:history="1">
        <w:r w:rsidR="009E0DC1">
          <w:rPr>
            <w:rStyle w:val="Hyperlink"/>
          </w:rPr>
          <w:t>7.b2)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_Toc256000041 \h </w:instrText>
        </w:r>
        <w:r w:rsidR="009E0DC1">
          <w:fldChar w:fldCharType="separate"/>
        </w:r>
        <w:r w:rsidR="009E0DC1">
          <w:t>93</w:t>
        </w:r>
        <w:r w:rsidR="009E0DC1">
          <w:fldChar w:fldCharType="end"/>
        </w:r>
      </w:hyperlink>
    </w:p>
    <w:p w:rsidR="00A1205A" w:rsidRDefault="006F67B9">
      <w:pPr>
        <w:pStyle w:val="TOC3"/>
        <w:rPr>
          <w:rFonts w:ascii="Calibri" w:hAnsi="Calibri"/>
          <w:noProof/>
          <w:sz w:val="22"/>
        </w:rPr>
      </w:pPr>
      <w:hyperlink w:anchor="_Toc256000042" w:history="1">
        <w:r w:rsidR="009E0DC1">
          <w:rPr>
            <w:rStyle w:val="Hyperlink"/>
          </w:rPr>
          <w:t>7.b3) Прилагани методи</w:t>
        </w:r>
        <w:r w:rsidR="009E0DC1">
          <w:tab/>
        </w:r>
        <w:r w:rsidR="009E0DC1">
          <w:fldChar w:fldCharType="begin"/>
        </w:r>
        <w:r w:rsidR="009E0DC1">
          <w:instrText xml:space="preserve"> PAGEREF _Toc256000042 \h </w:instrText>
        </w:r>
        <w:r w:rsidR="009E0DC1">
          <w:fldChar w:fldCharType="separate"/>
        </w:r>
        <w:r w:rsidR="009E0DC1">
          <w:t>93</w:t>
        </w:r>
        <w:r w:rsidR="009E0DC1">
          <w:fldChar w:fldCharType="end"/>
        </w:r>
      </w:hyperlink>
    </w:p>
    <w:p w:rsidR="00A1205A" w:rsidRDefault="006F67B9">
      <w:pPr>
        <w:pStyle w:val="TOC3"/>
        <w:rPr>
          <w:rFonts w:ascii="Calibri" w:hAnsi="Calibri"/>
          <w:noProof/>
          <w:sz w:val="22"/>
        </w:rPr>
      </w:pPr>
      <w:hyperlink w:anchor="_Toc256000043" w:history="1">
        <w:r w:rsidR="009E0DC1">
          <w:rPr>
            <w:rStyle w:val="Hyperlink"/>
          </w:rPr>
          <w:t>7.b4) Количествени стойности на показателите и източници на данни</w:t>
        </w:r>
        <w:r w:rsidR="009E0DC1">
          <w:tab/>
        </w:r>
        <w:r w:rsidR="009E0DC1">
          <w:fldChar w:fldCharType="begin"/>
        </w:r>
        <w:r w:rsidR="009E0DC1">
          <w:instrText xml:space="preserve"> PAGEREF _Toc256000043 \h </w:instrText>
        </w:r>
        <w:r w:rsidR="009E0DC1">
          <w:fldChar w:fldCharType="separate"/>
        </w:r>
        <w:r w:rsidR="009E0DC1">
          <w:t>93</w:t>
        </w:r>
        <w:r w:rsidR="009E0DC1">
          <w:fldChar w:fldCharType="end"/>
        </w:r>
      </w:hyperlink>
    </w:p>
    <w:p w:rsidR="00A1205A" w:rsidRDefault="006F67B9">
      <w:pPr>
        <w:pStyle w:val="TOC3"/>
        <w:rPr>
          <w:rFonts w:ascii="Calibri" w:hAnsi="Calibri"/>
          <w:noProof/>
          <w:sz w:val="22"/>
        </w:rPr>
      </w:pPr>
      <w:hyperlink w:anchor="_Toc256000044" w:history="1">
        <w:r w:rsidR="009E0DC1">
          <w:rPr>
            <w:rStyle w:val="Hyperlink"/>
          </w:rPr>
          <w:t>7.b5)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_Toc256000044 \h </w:instrText>
        </w:r>
        <w:r w:rsidR="009E0DC1">
          <w:fldChar w:fldCharType="separate"/>
        </w:r>
        <w:r w:rsidR="009E0DC1">
          <w:t>94</w:t>
        </w:r>
        <w:r w:rsidR="009E0DC1">
          <w:fldChar w:fldCharType="end"/>
        </w:r>
      </w:hyperlink>
    </w:p>
    <w:p w:rsidR="00A1205A" w:rsidRDefault="006F67B9">
      <w:pPr>
        <w:pStyle w:val="TOC3"/>
        <w:rPr>
          <w:rFonts w:ascii="Calibri" w:hAnsi="Calibri"/>
          <w:noProof/>
          <w:sz w:val="22"/>
        </w:rPr>
      </w:pPr>
      <w:hyperlink w:anchor="_Toc256000045" w:history="1">
        <w:r w:rsidR="009E0DC1">
          <w:rPr>
            <w:rStyle w:val="Hyperlink"/>
          </w:rPr>
          <w:t>7.b6) Отговор на въпрос за оценка</w:t>
        </w:r>
        <w:r w:rsidR="009E0DC1">
          <w:tab/>
        </w:r>
        <w:r w:rsidR="009E0DC1">
          <w:fldChar w:fldCharType="begin"/>
        </w:r>
        <w:r w:rsidR="009E0DC1">
          <w:instrText xml:space="preserve"> PAGEREF _Toc256000045 \h </w:instrText>
        </w:r>
        <w:r w:rsidR="009E0DC1">
          <w:fldChar w:fldCharType="separate"/>
        </w:r>
        <w:r w:rsidR="009E0DC1">
          <w:t>94</w:t>
        </w:r>
        <w:r w:rsidR="009E0DC1">
          <w:fldChar w:fldCharType="end"/>
        </w:r>
      </w:hyperlink>
    </w:p>
    <w:p w:rsidR="00A1205A" w:rsidRDefault="006F67B9">
      <w:pPr>
        <w:pStyle w:val="TOC3"/>
        <w:rPr>
          <w:rFonts w:ascii="Calibri" w:hAnsi="Calibri"/>
          <w:noProof/>
          <w:sz w:val="22"/>
        </w:rPr>
      </w:pPr>
      <w:hyperlink w:anchor="_Toc256000046" w:history="1">
        <w:r w:rsidR="009E0DC1">
          <w:rPr>
            <w:rStyle w:val="Hyperlink"/>
          </w:rPr>
          <w:t>7.b7) Заключения и препоръки</w:t>
        </w:r>
        <w:r w:rsidR="009E0DC1">
          <w:tab/>
        </w:r>
        <w:r w:rsidR="009E0DC1">
          <w:fldChar w:fldCharType="begin"/>
        </w:r>
        <w:r w:rsidR="009E0DC1">
          <w:instrText xml:space="preserve"> PAGEREF _Toc256000046 \h </w:instrText>
        </w:r>
        <w:r w:rsidR="009E0DC1">
          <w:fldChar w:fldCharType="separate"/>
        </w:r>
        <w:r w:rsidR="009E0DC1">
          <w:t>96</w:t>
        </w:r>
        <w:r w:rsidR="009E0DC1">
          <w:fldChar w:fldCharType="end"/>
        </w:r>
      </w:hyperlink>
    </w:p>
    <w:p w:rsidR="00A1205A" w:rsidRDefault="006F67B9">
      <w:pPr>
        <w:pStyle w:val="TOC2"/>
        <w:rPr>
          <w:rFonts w:ascii="Calibri" w:hAnsi="Calibri"/>
          <w:noProof/>
          <w:sz w:val="22"/>
        </w:rPr>
      </w:pPr>
      <w:hyperlink w:anchor="_Toc256000047" w:history="1">
        <w:r w:rsidR="009E0DC1">
          <w:rPr>
            <w:rStyle w:val="Hyperlink"/>
          </w:rPr>
          <w:t>7.c) CEQ06-3A - До каква степен интервенциите по ПРСР са допринесли за подобряване на конкурентоспособността на подпомаганите първични производители чрез по-доброто им интегриране в селскостопанската и хранителната верига чрез схеми за качество, чрез добавяне на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r w:rsidR="009E0DC1">
          <w:tab/>
        </w:r>
        <w:r w:rsidR="009E0DC1">
          <w:fldChar w:fldCharType="begin"/>
        </w:r>
        <w:r w:rsidR="009E0DC1">
          <w:instrText xml:space="preserve"> PAGEREF _Toc256000047 \h </w:instrText>
        </w:r>
        <w:r w:rsidR="009E0DC1">
          <w:fldChar w:fldCharType="separate"/>
        </w:r>
        <w:r w:rsidR="009E0DC1">
          <w:t>96</w:t>
        </w:r>
        <w:r w:rsidR="009E0DC1">
          <w:fldChar w:fldCharType="end"/>
        </w:r>
      </w:hyperlink>
    </w:p>
    <w:p w:rsidR="00A1205A" w:rsidRDefault="006F67B9">
      <w:pPr>
        <w:pStyle w:val="TOC3"/>
        <w:rPr>
          <w:rFonts w:ascii="Calibri" w:hAnsi="Calibri"/>
          <w:noProof/>
          <w:sz w:val="22"/>
        </w:rPr>
      </w:pPr>
      <w:hyperlink w:anchor="_Toc256000048" w:history="1">
        <w:r w:rsidR="009E0DC1">
          <w:rPr>
            <w:rStyle w:val="Hyperlink"/>
          </w:rPr>
          <w:t>7.c1) Списък на мерките, допринасящи за акцентираната област</w:t>
        </w:r>
        <w:r w:rsidR="009E0DC1">
          <w:tab/>
        </w:r>
        <w:r w:rsidR="009E0DC1">
          <w:fldChar w:fldCharType="begin"/>
        </w:r>
        <w:r w:rsidR="009E0DC1">
          <w:instrText xml:space="preserve"> PAGEREF _Toc256000048 \h </w:instrText>
        </w:r>
        <w:r w:rsidR="009E0DC1">
          <w:fldChar w:fldCharType="separate"/>
        </w:r>
        <w:r w:rsidR="009E0DC1">
          <w:t>97</w:t>
        </w:r>
        <w:r w:rsidR="009E0DC1">
          <w:fldChar w:fldCharType="end"/>
        </w:r>
      </w:hyperlink>
    </w:p>
    <w:p w:rsidR="00A1205A" w:rsidRDefault="006F67B9">
      <w:pPr>
        <w:pStyle w:val="TOC3"/>
        <w:rPr>
          <w:rFonts w:ascii="Calibri" w:hAnsi="Calibri"/>
          <w:noProof/>
          <w:sz w:val="22"/>
        </w:rPr>
      </w:pPr>
      <w:hyperlink w:anchor="_Toc256000049" w:history="1">
        <w:r w:rsidR="009E0DC1">
          <w:rPr>
            <w:rStyle w:val="Hyperlink"/>
          </w:rPr>
          <w:t>7.c2)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_Toc256000049 \h </w:instrText>
        </w:r>
        <w:r w:rsidR="009E0DC1">
          <w:fldChar w:fldCharType="separate"/>
        </w:r>
        <w:r w:rsidR="009E0DC1">
          <w:t>97</w:t>
        </w:r>
        <w:r w:rsidR="009E0DC1">
          <w:fldChar w:fldCharType="end"/>
        </w:r>
      </w:hyperlink>
    </w:p>
    <w:p w:rsidR="00A1205A" w:rsidRDefault="006F67B9">
      <w:pPr>
        <w:pStyle w:val="TOC3"/>
        <w:rPr>
          <w:rFonts w:ascii="Calibri" w:hAnsi="Calibri"/>
          <w:noProof/>
          <w:sz w:val="22"/>
        </w:rPr>
      </w:pPr>
      <w:hyperlink w:anchor="_Toc256000050" w:history="1">
        <w:r w:rsidR="009E0DC1">
          <w:rPr>
            <w:rStyle w:val="Hyperlink"/>
          </w:rPr>
          <w:t>7.c3) Прилагани методи</w:t>
        </w:r>
        <w:r w:rsidR="009E0DC1">
          <w:tab/>
        </w:r>
        <w:r w:rsidR="009E0DC1">
          <w:fldChar w:fldCharType="begin"/>
        </w:r>
        <w:r w:rsidR="009E0DC1">
          <w:instrText xml:space="preserve"> PAGEREF _Toc256000050 \h </w:instrText>
        </w:r>
        <w:r w:rsidR="009E0DC1">
          <w:fldChar w:fldCharType="separate"/>
        </w:r>
        <w:r w:rsidR="009E0DC1">
          <w:t>97</w:t>
        </w:r>
        <w:r w:rsidR="009E0DC1">
          <w:fldChar w:fldCharType="end"/>
        </w:r>
      </w:hyperlink>
    </w:p>
    <w:p w:rsidR="00A1205A" w:rsidRDefault="006F67B9">
      <w:pPr>
        <w:pStyle w:val="TOC3"/>
        <w:rPr>
          <w:rFonts w:ascii="Calibri" w:hAnsi="Calibri"/>
          <w:noProof/>
          <w:sz w:val="22"/>
        </w:rPr>
      </w:pPr>
      <w:hyperlink w:anchor="_Toc256000051" w:history="1">
        <w:r w:rsidR="009E0DC1">
          <w:rPr>
            <w:rStyle w:val="Hyperlink"/>
          </w:rPr>
          <w:t>7.c4) Количествени стойности на показателите и източници на данни</w:t>
        </w:r>
        <w:r w:rsidR="009E0DC1">
          <w:tab/>
        </w:r>
        <w:r w:rsidR="009E0DC1">
          <w:fldChar w:fldCharType="begin"/>
        </w:r>
        <w:r w:rsidR="009E0DC1">
          <w:instrText xml:space="preserve"> PAGEREF _Toc256000051 \h </w:instrText>
        </w:r>
        <w:r w:rsidR="009E0DC1">
          <w:fldChar w:fldCharType="separate"/>
        </w:r>
        <w:r w:rsidR="009E0DC1">
          <w:t>97</w:t>
        </w:r>
        <w:r w:rsidR="009E0DC1">
          <w:fldChar w:fldCharType="end"/>
        </w:r>
      </w:hyperlink>
    </w:p>
    <w:p w:rsidR="00A1205A" w:rsidRDefault="006F67B9">
      <w:pPr>
        <w:pStyle w:val="TOC3"/>
        <w:rPr>
          <w:rFonts w:ascii="Calibri" w:hAnsi="Calibri"/>
          <w:noProof/>
          <w:sz w:val="22"/>
        </w:rPr>
      </w:pPr>
      <w:hyperlink w:anchor="_Toc256000052" w:history="1">
        <w:r w:rsidR="009E0DC1">
          <w:rPr>
            <w:rStyle w:val="Hyperlink"/>
          </w:rPr>
          <w:t>7.c5)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_Toc256000052 \h </w:instrText>
        </w:r>
        <w:r w:rsidR="009E0DC1">
          <w:fldChar w:fldCharType="separate"/>
        </w:r>
        <w:r w:rsidR="009E0DC1">
          <w:t>98</w:t>
        </w:r>
        <w:r w:rsidR="009E0DC1">
          <w:fldChar w:fldCharType="end"/>
        </w:r>
      </w:hyperlink>
    </w:p>
    <w:p w:rsidR="00A1205A" w:rsidRDefault="006F67B9">
      <w:pPr>
        <w:pStyle w:val="TOC3"/>
        <w:rPr>
          <w:rFonts w:ascii="Calibri" w:hAnsi="Calibri"/>
          <w:noProof/>
          <w:sz w:val="22"/>
        </w:rPr>
      </w:pPr>
      <w:hyperlink w:anchor="_Toc256000053" w:history="1">
        <w:r w:rsidR="009E0DC1">
          <w:rPr>
            <w:rStyle w:val="Hyperlink"/>
          </w:rPr>
          <w:t>7.c6) Отговор на въпрос за оценка</w:t>
        </w:r>
        <w:r w:rsidR="009E0DC1">
          <w:tab/>
        </w:r>
        <w:r w:rsidR="009E0DC1">
          <w:fldChar w:fldCharType="begin"/>
        </w:r>
        <w:r w:rsidR="009E0DC1">
          <w:instrText xml:space="preserve"> PAGEREF _Toc256000053 \h </w:instrText>
        </w:r>
        <w:r w:rsidR="009E0DC1">
          <w:fldChar w:fldCharType="separate"/>
        </w:r>
        <w:r w:rsidR="009E0DC1">
          <w:t>98</w:t>
        </w:r>
        <w:r w:rsidR="009E0DC1">
          <w:fldChar w:fldCharType="end"/>
        </w:r>
      </w:hyperlink>
    </w:p>
    <w:p w:rsidR="00A1205A" w:rsidRDefault="006F67B9">
      <w:pPr>
        <w:pStyle w:val="TOC3"/>
        <w:rPr>
          <w:rFonts w:ascii="Calibri" w:hAnsi="Calibri"/>
          <w:noProof/>
          <w:sz w:val="22"/>
        </w:rPr>
      </w:pPr>
      <w:hyperlink w:anchor="_Toc256000054" w:history="1">
        <w:r w:rsidR="009E0DC1">
          <w:rPr>
            <w:rStyle w:val="Hyperlink"/>
          </w:rPr>
          <w:t>7.c7) Заключения и препоръки</w:t>
        </w:r>
        <w:r w:rsidR="009E0DC1">
          <w:tab/>
        </w:r>
        <w:r w:rsidR="009E0DC1">
          <w:fldChar w:fldCharType="begin"/>
        </w:r>
        <w:r w:rsidR="009E0DC1">
          <w:instrText xml:space="preserve"> PAGEREF _Toc256000054 \h </w:instrText>
        </w:r>
        <w:r w:rsidR="009E0DC1">
          <w:fldChar w:fldCharType="separate"/>
        </w:r>
        <w:r w:rsidR="009E0DC1">
          <w:t>100</w:t>
        </w:r>
        <w:r w:rsidR="009E0DC1">
          <w:fldChar w:fldCharType="end"/>
        </w:r>
      </w:hyperlink>
    </w:p>
    <w:p w:rsidR="00A1205A" w:rsidRDefault="006F67B9">
      <w:pPr>
        <w:pStyle w:val="TOC2"/>
        <w:rPr>
          <w:rFonts w:ascii="Calibri" w:hAnsi="Calibri"/>
          <w:noProof/>
          <w:sz w:val="22"/>
        </w:rPr>
      </w:pPr>
      <w:hyperlink w:anchor="_Toc256000055" w:history="1">
        <w:r w:rsidR="009E0DC1">
          <w:rPr>
            <w:rStyle w:val="Hyperlink"/>
          </w:rPr>
          <w:t>7.d) CEQ08-4A - До каква степен интервенциите по ПРСР са подпомогнали възстановяването, запазването и укрепването на биологичното разнообразие, включително в зони по „Натура 2000“, области с природни или други специфични ограничения, както и земеделието с висока природна стойност, както и състоянието на европейския ландшафт?</w:t>
        </w:r>
        <w:r w:rsidR="009E0DC1">
          <w:tab/>
        </w:r>
        <w:r w:rsidR="009E0DC1">
          <w:fldChar w:fldCharType="begin"/>
        </w:r>
        <w:r w:rsidR="009E0DC1">
          <w:instrText xml:space="preserve"> PAGEREF _Toc256000055 \h </w:instrText>
        </w:r>
        <w:r w:rsidR="009E0DC1">
          <w:fldChar w:fldCharType="separate"/>
        </w:r>
        <w:r w:rsidR="009E0DC1">
          <w:t>100</w:t>
        </w:r>
        <w:r w:rsidR="009E0DC1">
          <w:fldChar w:fldCharType="end"/>
        </w:r>
      </w:hyperlink>
    </w:p>
    <w:p w:rsidR="00A1205A" w:rsidRDefault="006F67B9">
      <w:pPr>
        <w:pStyle w:val="TOC3"/>
        <w:rPr>
          <w:rFonts w:ascii="Calibri" w:hAnsi="Calibri"/>
          <w:noProof/>
          <w:sz w:val="22"/>
        </w:rPr>
      </w:pPr>
      <w:hyperlink w:anchor="_Toc256000056" w:history="1">
        <w:r w:rsidR="009E0DC1">
          <w:rPr>
            <w:rStyle w:val="Hyperlink"/>
          </w:rPr>
          <w:t>7.d1) Списък на мерките, допринасящи за акцентираната област</w:t>
        </w:r>
        <w:r w:rsidR="009E0DC1">
          <w:tab/>
        </w:r>
        <w:r w:rsidR="009E0DC1">
          <w:fldChar w:fldCharType="begin"/>
        </w:r>
        <w:r w:rsidR="009E0DC1">
          <w:instrText xml:space="preserve"> PAGEREF _Toc256000056 \h </w:instrText>
        </w:r>
        <w:r w:rsidR="009E0DC1">
          <w:fldChar w:fldCharType="separate"/>
        </w:r>
        <w:r w:rsidR="009E0DC1">
          <w:t>101</w:t>
        </w:r>
        <w:r w:rsidR="009E0DC1">
          <w:fldChar w:fldCharType="end"/>
        </w:r>
      </w:hyperlink>
    </w:p>
    <w:p w:rsidR="00A1205A" w:rsidRDefault="006F67B9">
      <w:pPr>
        <w:pStyle w:val="TOC3"/>
        <w:rPr>
          <w:rFonts w:ascii="Calibri" w:hAnsi="Calibri"/>
          <w:noProof/>
          <w:sz w:val="22"/>
        </w:rPr>
      </w:pPr>
      <w:hyperlink w:anchor="_Toc256000057" w:history="1">
        <w:r w:rsidR="009E0DC1">
          <w:rPr>
            <w:rStyle w:val="Hyperlink"/>
          </w:rPr>
          <w:t>7.d2)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_Toc256000057 \h </w:instrText>
        </w:r>
        <w:r w:rsidR="009E0DC1">
          <w:fldChar w:fldCharType="separate"/>
        </w:r>
        <w:r w:rsidR="009E0DC1">
          <w:t>101</w:t>
        </w:r>
        <w:r w:rsidR="009E0DC1">
          <w:fldChar w:fldCharType="end"/>
        </w:r>
      </w:hyperlink>
    </w:p>
    <w:p w:rsidR="00A1205A" w:rsidRDefault="006F67B9">
      <w:pPr>
        <w:pStyle w:val="TOC3"/>
        <w:rPr>
          <w:rFonts w:ascii="Calibri" w:hAnsi="Calibri"/>
          <w:noProof/>
          <w:sz w:val="22"/>
        </w:rPr>
      </w:pPr>
      <w:hyperlink w:anchor="_Toc256000058" w:history="1">
        <w:r w:rsidR="009E0DC1">
          <w:rPr>
            <w:rStyle w:val="Hyperlink"/>
          </w:rPr>
          <w:t>7.d3) Прилагани методи</w:t>
        </w:r>
        <w:r w:rsidR="009E0DC1">
          <w:tab/>
        </w:r>
        <w:r w:rsidR="009E0DC1">
          <w:fldChar w:fldCharType="begin"/>
        </w:r>
        <w:r w:rsidR="009E0DC1">
          <w:instrText xml:space="preserve"> PAGEREF _Toc256000058 \h </w:instrText>
        </w:r>
        <w:r w:rsidR="009E0DC1">
          <w:fldChar w:fldCharType="separate"/>
        </w:r>
        <w:r w:rsidR="009E0DC1">
          <w:t>101</w:t>
        </w:r>
        <w:r w:rsidR="009E0DC1">
          <w:fldChar w:fldCharType="end"/>
        </w:r>
      </w:hyperlink>
    </w:p>
    <w:p w:rsidR="00A1205A" w:rsidRDefault="006F67B9">
      <w:pPr>
        <w:pStyle w:val="TOC3"/>
        <w:rPr>
          <w:rFonts w:ascii="Calibri" w:hAnsi="Calibri"/>
          <w:noProof/>
          <w:sz w:val="22"/>
        </w:rPr>
      </w:pPr>
      <w:hyperlink w:anchor="_Toc256000059" w:history="1">
        <w:r w:rsidR="009E0DC1">
          <w:rPr>
            <w:rStyle w:val="Hyperlink"/>
          </w:rPr>
          <w:t>7.d4) Количествени стойности на показателите и източници на данни</w:t>
        </w:r>
        <w:r w:rsidR="009E0DC1">
          <w:tab/>
        </w:r>
        <w:r w:rsidR="009E0DC1">
          <w:fldChar w:fldCharType="begin"/>
        </w:r>
        <w:r w:rsidR="009E0DC1">
          <w:instrText xml:space="preserve"> PAGEREF _Toc256000059 \h </w:instrText>
        </w:r>
        <w:r w:rsidR="009E0DC1">
          <w:fldChar w:fldCharType="separate"/>
        </w:r>
        <w:r w:rsidR="009E0DC1">
          <w:t>101</w:t>
        </w:r>
        <w:r w:rsidR="009E0DC1">
          <w:fldChar w:fldCharType="end"/>
        </w:r>
      </w:hyperlink>
    </w:p>
    <w:p w:rsidR="00A1205A" w:rsidRDefault="006F67B9">
      <w:pPr>
        <w:pStyle w:val="TOC3"/>
        <w:rPr>
          <w:rFonts w:ascii="Calibri" w:hAnsi="Calibri"/>
          <w:noProof/>
          <w:sz w:val="22"/>
        </w:rPr>
      </w:pPr>
      <w:hyperlink w:anchor="_Toc256000060" w:history="1">
        <w:r w:rsidR="009E0DC1">
          <w:rPr>
            <w:rStyle w:val="Hyperlink"/>
          </w:rPr>
          <w:t>7.d5)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_Toc256000060 \h </w:instrText>
        </w:r>
        <w:r w:rsidR="009E0DC1">
          <w:fldChar w:fldCharType="separate"/>
        </w:r>
        <w:r w:rsidR="009E0DC1">
          <w:t>102</w:t>
        </w:r>
        <w:r w:rsidR="009E0DC1">
          <w:fldChar w:fldCharType="end"/>
        </w:r>
      </w:hyperlink>
    </w:p>
    <w:p w:rsidR="00A1205A" w:rsidRDefault="006F67B9">
      <w:pPr>
        <w:pStyle w:val="TOC3"/>
        <w:rPr>
          <w:rFonts w:ascii="Calibri" w:hAnsi="Calibri"/>
          <w:noProof/>
          <w:sz w:val="22"/>
        </w:rPr>
      </w:pPr>
      <w:hyperlink w:anchor="_Toc256000061" w:history="1">
        <w:r w:rsidR="009E0DC1">
          <w:rPr>
            <w:rStyle w:val="Hyperlink"/>
          </w:rPr>
          <w:t>7.d6) Отговор на въпрос за оценка</w:t>
        </w:r>
        <w:r w:rsidR="009E0DC1">
          <w:tab/>
        </w:r>
        <w:r w:rsidR="009E0DC1">
          <w:fldChar w:fldCharType="begin"/>
        </w:r>
        <w:r w:rsidR="009E0DC1">
          <w:instrText xml:space="preserve"> PAGEREF _Toc256000061 \h </w:instrText>
        </w:r>
        <w:r w:rsidR="009E0DC1">
          <w:fldChar w:fldCharType="separate"/>
        </w:r>
        <w:r w:rsidR="009E0DC1">
          <w:t>102</w:t>
        </w:r>
        <w:r w:rsidR="009E0DC1">
          <w:fldChar w:fldCharType="end"/>
        </w:r>
      </w:hyperlink>
    </w:p>
    <w:p w:rsidR="00A1205A" w:rsidRDefault="006F67B9">
      <w:pPr>
        <w:pStyle w:val="TOC3"/>
        <w:rPr>
          <w:rFonts w:ascii="Calibri" w:hAnsi="Calibri"/>
          <w:noProof/>
          <w:sz w:val="22"/>
        </w:rPr>
      </w:pPr>
      <w:hyperlink w:anchor="_Toc256000062" w:history="1">
        <w:r w:rsidR="009E0DC1">
          <w:rPr>
            <w:rStyle w:val="Hyperlink"/>
          </w:rPr>
          <w:t>7.d7) Заключения и препоръки</w:t>
        </w:r>
        <w:r w:rsidR="009E0DC1">
          <w:tab/>
        </w:r>
        <w:r w:rsidR="009E0DC1">
          <w:fldChar w:fldCharType="begin"/>
        </w:r>
        <w:r w:rsidR="009E0DC1">
          <w:instrText xml:space="preserve"> PAGEREF _Toc256000062 \h </w:instrText>
        </w:r>
        <w:r w:rsidR="009E0DC1">
          <w:fldChar w:fldCharType="separate"/>
        </w:r>
        <w:r w:rsidR="009E0DC1">
          <w:t>103</w:t>
        </w:r>
        <w:r w:rsidR="009E0DC1">
          <w:fldChar w:fldCharType="end"/>
        </w:r>
      </w:hyperlink>
    </w:p>
    <w:p w:rsidR="00A1205A" w:rsidRDefault="006F67B9">
      <w:pPr>
        <w:pStyle w:val="TOC2"/>
        <w:rPr>
          <w:rFonts w:ascii="Calibri" w:hAnsi="Calibri"/>
          <w:noProof/>
          <w:sz w:val="22"/>
        </w:rPr>
      </w:pPr>
      <w:hyperlink w:anchor="_Toc256000063" w:history="1">
        <w:r w:rsidR="009E0DC1">
          <w:rPr>
            <w:rStyle w:val="Hyperlink"/>
          </w:rPr>
          <w:t>7.e) CEQ09-4B - До каква степен интервенциите по ПРСР са подпомогнали подобряването на управлението на водите, включително управлението на торовете и пестицидите?</w:t>
        </w:r>
        <w:r w:rsidR="009E0DC1">
          <w:tab/>
        </w:r>
        <w:r w:rsidR="009E0DC1">
          <w:fldChar w:fldCharType="begin"/>
        </w:r>
        <w:r w:rsidR="009E0DC1">
          <w:instrText xml:space="preserve"> PAGEREF _Toc256000063 \h </w:instrText>
        </w:r>
        <w:r w:rsidR="009E0DC1">
          <w:fldChar w:fldCharType="separate"/>
        </w:r>
        <w:r w:rsidR="009E0DC1">
          <w:t>103</w:t>
        </w:r>
        <w:r w:rsidR="009E0DC1">
          <w:fldChar w:fldCharType="end"/>
        </w:r>
      </w:hyperlink>
    </w:p>
    <w:p w:rsidR="00A1205A" w:rsidRDefault="006F67B9">
      <w:pPr>
        <w:pStyle w:val="TOC3"/>
        <w:rPr>
          <w:rFonts w:ascii="Calibri" w:hAnsi="Calibri"/>
          <w:noProof/>
          <w:sz w:val="22"/>
        </w:rPr>
      </w:pPr>
      <w:hyperlink w:anchor="_Toc256000064" w:history="1">
        <w:r w:rsidR="009E0DC1">
          <w:rPr>
            <w:rStyle w:val="Hyperlink"/>
          </w:rPr>
          <w:t>7.e1) Списък на мерките, допринасящи за акцентираната област</w:t>
        </w:r>
        <w:r w:rsidR="009E0DC1">
          <w:tab/>
        </w:r>
        <w:r w:rsidR="009E0DC1">
          <w:fldChar w:fldCharType="begin"/>
        </w:r>
        <w:r w:rsidR="009E0DC1">
          <w:instrText xml:space="preserve"> PAGEREF _Toc256000064 \h </w:instrText>
        </w:r>
        <w:r w:rsidR="009E0DC1">
          <w:fldChar w:fldCharType="separate"/>
        </w:r>
        <w:r w:rsidR="009E0DC1">
          <w:t>104</w:t>
        </w:r>
        <w:r w:rsidR="009E0DC1">
          <w:fldChar w:fldCharType="end"/>
        </w:r>
      </w:hyperlink>
    </w:p>
    <w:p w:rsidR="00A1205A" w:rsidRDefault="006F67B9">
      <w:pPr>
        <w:pStyle w:val="TOC3"/>
        <w:rPr>
          <w:rFonts w:ascii="Calibri" w:hAnsi="Calibri"/>
          <w:noProof/>
          <w:sz w:val="22"/>
        </w:rPr>
      </w:pPr>
      <w:hyperlink w:anchor="_Toc256000065" w:history="1">
        <w:r w:rsidR="009E0DC1">
          <w:rPr>
            <w:rStyle w:val="Hyperlink"/>
          </w:rPr>
          <w:t>7.e2)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_Toc256000065 \h </w:instrText>
        </w:r>
        <w:r w:rsidR="009E0DC1">
          <w:fldChar w:fldCharType="separate"/>
        </w:r>
        <w:r w:rsidR="009E0DC1">
          <w:t>104</w:t>
        </w:r>
        <w:r w:rsidR="009E0DC1">
          <w:fldChar w:fldCharType="end"/>
        </w:r>
      </w:hyperlink>
    </w:p>
    <w:p w:rsidR="00A1205A" w:rsidRDefault="006F67B9">
      <w:pPr>
        <w:pStyle w:val="TOC3"/>
        <w:rPr>
          <w:rFonts w:ascii="Calibri" w:hAnsi="Calibri"/>
          <w:noProof/>
          <w:sz w:val="22"/>
        </w:rPr>
      </w:pPr>
      <w:hyperlink w:anchor="_Toc256000066" w:history="1">
        <w:r w:rsidR="009E0DC1">
          <w:rPr>
            <w:rStyle w:val="Hyperlink"/>
          </w:rPr>
          <w:t>7.e3) Прилагани методи</w:t>
        </w:r>
        <w:r w:rsidR="009E0DC1">
          <w:tab/>
        </w:r>
        <w:r w:rsidR="009E0DC1">
          <w:fldChar w:fldCharType="begin"/>
        </w:r>
        <w:r w:rsidR="009E0DC1">
          <w:instrText xml:space="preserve"> PAGEREF _Toc256000066 \h </w:instrText>
        </w:r>
        <w:r w:rsidR="009E0DC1">
          <w:fldChar w:fldCharType="separate"/>
        </w:r>
        <w:r w:rsidR="009E0DC1">
          <w:t>104</w:t>
        </w:r>
        <w:r w:rsidR="009E0DC1">
          <w:fldChar w:fldCharType="end"/>
        </w:r>
      </w:hyperlink>
    </w:p>
    <w:p w:rsidR="00A1205A" w:rsidRDefault="006F67B9">
      <w:pPr>
        <w:pStyle w:val="TOC3"/>
        <w:rPr>
          <w:rFonts w:ascii="Calibri" w:hAnsi="Calibri"/>
          <w:noProof/>
          <w:sz w:val="22"/>
        </w:rPr>
      </w:pPr>
      <w:hyperlink w:anchor="_Toc256000067" w:history="1">
        <w:r w:rsidR="009E0DC1">
          <w:rPr>
            <w:rStyle w:val="Hyperlink"/>
          </w:rPr>
          <w:t>7.e4) Количествени стойности на показателите и източници на данни</w:t>
        </w:r>
        <w:r w:rsidR="009E0DC1">
          <w:tab/>
        </w:r>
        <w:r w:rsidR="009E0DC1">
          <w:fldChar w:fldCharType="begin"/>
        </w:r>
        <w:r w:rsidR="009E0DC1">
          <w:instrText xml:space="preserve"> PAGEREF _Toc256000067 \h </w:instrText>
        </w:r>
        <w:r w:rsidR="009E0DC1">
          <w:fldChar w:fldCharType="separate"/>
        </w:r>
        <w:r w:rsidR="009E0DC1">
          <w:t>104</w:t>
        </w:r>
        <w:r w:rsidR="009E0DC1">
          <w:fldChar w:fldCharType="end"/>
        </w:r>
      </w:hyperlink>
    </w:p>
    <w:p w:rsidR="00A1205A" w:rsidRDefault="006F67B9">
      <w:pPr>
        <w:pStyle w:val="TOC3"/>
        <w:rPr>
          <w:rFonts w:ascii="Calibri" w:hAnsi="Calibri"/>
          <w:noProof/>
          <w:sz w:val="22"/>
        </w:rPr>
      </w:pPr>
      <w:hyperlink w:anchor="_Toc256000068" w:history="1">
        <w:r w:rsidR="009E0DC1">
          <w:rPr>
            <w:rStyle w:val="Hyperlink"/>
          </w:rPr>
          <w:t>7.e5)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_Toc256000068 \h </w:instrText>
        </w:r>
        <w:r w:rsidR="009E0DC1">
          <w:fldChar w:fldCharType="separate"/>
        </w:r>
        <w:r w:rsidR="009E0DC1">
          <w:t>105</w:t>
        </w:r>
        <w:r w:rsidR="009E0DC1">
          <w:fldChar w:fldCharType="end"/>
        </w:r>
      </w:hyperlink>
    </w:p>
    <w:p w:rsidR="00A1205A" w:rsidRDefault="006F67B9">
      <w:pPr>
        <w:pStyle w:val="TOC3"/>
        <w:rPr>
          <w:rFonts w:ascii="Calibri" w:hAnsi="Calibri"/>
          <w:noProof/>
          <w:sz w:val="22"/>
        </w:rPr>
      </w:pPr>
      <w:hyperlink w:anchor="_Toc256000069" w:history="1">
        <w:r w:rsidR="009E0DC1">
          <w:rPr>
            <w:rStyle w:val="Hyperlink"/>
          </w:rPr>
          <w:t>7.e6) Отговор на въпрос за оценка</w:t>
        </w:r>
        <w:r w:rsidR="009E0DC1">
          <w:tab/>
        </w:r>
        <w:r w:rsidR="009E0DC1">
          <w:fldChar w:fldCharType="begin"/>
        </w:r>
        <w:r w:rsidR="009E0DC1">
          <w:instrText xml:space="preserve"> PAGEREF _Toc256000069 \h </w:instrText>
        </w:r>
        <w:r w:rsidR="009E0DC1">
          <w:fldChar w:fldCharType="separate"/>
        </w:r>
        <w:r w:rsidR="009E0DC1">
          <w:t>105</w:t>
        </w:r>
        <w:r w:rsidR="009E0DC1">
          <w:fldChar w:fldCharType="end"/>
        </w:r>
      </w:hyperlink>
    </w:p>
    <w:p w:rsidR="00A1205A" w:rsidRDefault="006F67B9">
      <w:pPr>
        <w:pStyle w:val="TOC3"/>
        <w:rPr>
          <w:rFonts w:ascii="Calibri" w:hAnsi="Calibri"/>
          <w:noProof/>
          <w:sz w:val="22"/>
        </w:rPr>
      </w:pPr>
      <w:hyperlink w:anchor="_Toc256000070" w:history="1">
        <w:r w:rsidR="009E0DC1">
          <w:rPr>
            <w:rStyle w:val="Hyperlink"/>
          </w:rPr>
          <w:t>7.e7) Заключения и препоръки</w:t>
        </w:r>
        <w:r w:rsidR="009E0DC1">
          <w:tab/>
        </w:r>
        <w:r w:rsidR="009E0DC1">
          <w:fldChar w:fldCharType="begin"/>
        </w:r>
        <w:r w:rsidR="009E0DC1">
          <w:instrText xml:space="preserve"> PAGEREF _Toc256000070 \h </w:instrText>
        </w:r>
        <w:r w:rsidR="009E0DC1">
          <w:fldChar w:fldCharType="separate"/>
        </w:r>
        <w:r w:rsidR="009E0DC1">
          <w:t>106</w:t>
        </w:r>
        <w:r w:rsidR="009E0DC1">
          <w:fldChar w:fldCharType="end"/>
        </w:r>
      </w:hyperlink>
    </w:p>
    <w:p w:rsidR="00A1205A" w:rsidRDefault="006F67B9">
      <w:pPr>
        <w:pStyle w:val="TOC2"/>
        <w:rPr>
          <w:rFonts w:ascii="Calibri" w:hAnsi="Calibri"/>
          <w:noProof/>
          <w:sz w:val="22"/>
        </w:rPr>
      </w:pPr>
      <w:hyperlink w:anchor="_Toc256000071" w:history="1">
        <w:r w:rsidR="009E0DC1">
          <w:rPr>
            <w:rStyle w:val="Hyperlink"/>
          </w:rPr>
          <w:t>7.f) CEQ10-4C - До каква степен интервенциите по ПРСР са подпомогнали предотвратяването на почвената ерозия и подобряването на управлението на почвите?</w:t>
        </w:r>
        <w:r w:rsidR="009E0DC1">
          <w:tab/>
        </w:r>
        <w:r w:rsidR="009E0DC1">
          <w:fldChar w:fldCharType="begin"/>
        </w:r>
        <w:r w:rsidR="009E0DC1">
          <w:instrText xml:space="preserve"> PAGEREF _Toc256000071 \h </w:instrText>
        </w:r>
        <w:r w:rsidR="009E0DC1">
          <w:fldChar w:fldCharType="separate"/>
        </w:r>
        <w:r w:rsidR="009E0DC1">
          <w:t>106</w:t>
        </w:r>
        <w:r w:rsidR="009E0DC1">
          <w:fldChar w:fldCharType="end"/>
        </w:r>
      </w:hyperlink>
    </w:p>
    <w:p w:rsidR="00A1205A" w:rsidRDefault="006F67B9">
      <w:pPr>
        <w:pStyle w:val="TOC3"/>
        <w:rPr>
          <w:rFonts w:ascii="Calibri" w:hAnsi="Calibri"/>
          <w:noProof/>
          <w:sz w:val="22"/>
        </w:rPr>
      </w:pPr>
      <w:hyperlink w:anchor="_Toc256000072" w:history="1">
        <w:r w:rsidR="009E0DC1">
          <w:rPr>
            <w:rStyle w:val="Hyperlink"/>
          </w:rPr>
          <w:t>7.f1) Списък на мерките, допринасящи за акцентираната област</w:t>
        </w:r>
        <w:r w:rsidR="009E0DC1">
          <w:tab/>
        </w:r>
        <w:r w:rsidR="009E0DC1">
          <w:fldChar w:fldCharType="begin"/>
        </w:r>
        <w:r w:rsidR="009E0DC1">
          <w:instrText xml:space="preserve"> PAGEREF _Toc256000072 \h </w:instrText>
        </w:r>
        <w:r w:rsidR="009E0DC1">
          <w:fldChar w:fldCharType="separate"/>
        </w:r>
        <w:r w:rsidR="009E0DC1">
          <w:t>107</w:t>
        </w:r>
        <w:r w:rsidR="009E0DC1">
          <w:fldChar w:fldCharType="end"/>
        </w:r>
      </w:hyperlink>
    </w:p>
    <w:p w:rsidR="00A1205A" w:rsidRDefault="006F67B9">
      <w:pPr>
        <w:pStyle w:val="TOC3"/>
        <w:rPr>
          <w:rFonts w:ascii="Calibri" w:hAnsi="Calibri"/>
          <w:noProof/>
          <w:sz w:val="22"/>
        </w:rPr>
      </w:pPr>
      <w:hyperlink w:anchor="_Toc256000073" w:history="1">
        <w:r w:rsidR="009E0DC1">
          <w:rPr>
            <w:rStyle w:val="Hyperlink"/>
          </w:rPr>
          <w:t>7.f2)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_Toc256000073 \h </w:instrText>
        </w:r>
        <w:r w:rsidR="009E0DC1">
          <w:fldChar w:fldCharType="separate"/>
        </w:r>
        <w:r w:rsidR="009E0DC1">
          <w:t>107</w:t>
        </w:r>
        <w:r w:rsidR="009E0DC1">
          <w:fldChar w:fldCharType="end"/>
        </w:r>
      </w:hyperlink>
    </w:p>
    <w:p w:rsidR="00A1205A" w:rsidRDefault="006F67B9">
      <w:pPr>
        <w:pStyle w:val="TOC3"/>
        <w:rPr>
          <w:rFonts w:ascii="Calibri" w:hAnsi="Calibri"/>
          <w:noProof/>
          <w:sz w:val="22"/>
        </w:rPr>
      </w:pPr>
      <w:hyperlink w:anchor="_Toc256000074" w:history="1">
        <w:r w:rsidR="009E0DC1">
          <w:rPr>
            <w:rStyle w:val="Hyperlink"/>
          </w:rPr>
          <w:t>7.f3) Прилагани методи</w:t>
        </w:r>
        <w:r w:rsidR="009E0DC1">
          <w:tab/>
        </w:r>
        <w:r w:rsidR="009E0DC1">
          <w:fldChar w:fldCharType="begin"/>
        </w:r>
        <w:r w:rsidR="009E0DC1">
          <w:instrText xml:space="preserve"> PAGEREF _Toc256000074 \h </w:instrText>
        </w:r>
        <w:r w:rsidR="009E0DC1">
          <w:fldChar w:fldCharType="separate"/>
        </w:r>
        <w:r w:rsidR="009E0DC1">
          <w:t>107</w:t>
        </w:r>
        <w:r w:rsidR="009E0DC1">
          <w:fldChar w:fldCharType="end"/>
        </w:r>
      </w:hyperlink>
    </w:p>
    <w:p w:rsidR="00A1205A" w:rsidRDefault="006F67B9">
      <w:pPr>
        <w:pStyle w:val="TOC3"/>
        <w:rPr>
          <w:rFonts w:ascii="Calibri" w:hAnsi="Calibri"/>
          <w:noProof/>
          <w:sz w:val="22"/>
        </w:rPr>
      </w:pPr>
      <w:hyperlink w:anchor="_Toc256000075" w:history="1">
        <w:r w:rsidR="009E0DC1">
          <w:rPr>
            <w:rStyle w:val="Hyperlink"/>
          </w:rPr>
          <w:t>7.f4) Количествени стойности на показателите и източници на данни</w:t>
        </w:r>
        <w:r w:rsidR="009E0DC1">
          <w:tab/>
        </w:r>
        <w:r w:rsidR="009E0DC1">
          <w:fldChar w:fldCharType="begin"/>
        </w:r>
        <w:r w:rsidR="009E0DC1">
          <w:instrText xml:space="preserve"> PAGEREF _Toc256000075 \h </w:instrText>
        </w:r>
        <w:r w:rsidR="009E0DC1">
          <w:fldChar w:fldCharType="separate"/>
        </w:r>
        <w:r w:rsidR="009E0DC1">
          <w:t>108</w:t>
        </w:r>
        <w:r w:rsidR="009E0DC1">
          <w:fldChar w:fldCharType="end"/>
        </w:r>
      </w:hyperlink>
    </w:p>
    <w:p w:rsidR="00A1205A" w:rsidRDefault="006F67B9">
      <w:pPr>
        <w:pStyle w:val="TOC3"/>
        <w:rPr>
          <w:rFonts w:ascii="Calibri" w:hAnsi="Calibri"/>
          <w:noProof/>
          <w:sz w:val="22"/>
        </w:rPr>
      </w:pPr>
      <w:hyperlink w:anchor="_Toc256000076" w:history="1">
        <w:r w:rsidR="009E0DC1">
          <w:rPr>
            <w:rStyle w:val="Hyperlink"/>
          </w:rPr>
          <w:t>7.f5)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_Toc256000076 \h </w:instrText>
        </w:r>
        <w:r w:rsidR="009E0DC1">
          <w:fldChar w:fldCharType="separate"/>
        </w:r>
        <w:r w:rsidR="009E0DC1">
          <w:t>108</w:t>
        </w:r>
        <w:r w:rsidR="009E0DC1">
          <w:fldChar w:fldCharType="end"/>
        </w:r>
      </w:hyperlink>
    </w:p>
    <w:p w:rsidR="00A1205A" w:rsidRDefault="006F67B9">
      <w:pPr>
        <w:pStyle w:val="TOC3"/>
        <w:rPr>
          <w:rFonts w:ascii="Calibri" w:hAnsi="Calibri"/>
          <w:noProof/>
          <w:sz w:val="22"/>
        </w:rPr>
      </w:pPr>
      <w:hyperlink w:anchor="_Toc256000077" w:history="1">
        <w:r w:rsidR="009E0DC1">
          <w:rPr>
            <w:rStyle w:val="Hyperlink"/>
          </w:rPr>
          <w:t>7.f6) Отговор на въпрос за оценка</w:t>
        </w:r>
        <w:r w:rsidR="009E0DC1">
          <w:tab/>
        </w:r>
        <w:r w:rsidR="009E0DC1">
          <w:fldChar w:fldCharType="begin"/>
        </w:r>
        <w:r w:rsidR="009E0DC1">
          <w:instrText xml:space="preserve"> PAGEREF _Toc256000077 \h </w:instrText>
        </w:r>
        <w:r w:rsidR="009E0DC1">
          <w:fldChar w:fldCharType="separate"/>
        </w:r>
        <w:r w:rsidR="009E0DC1">
          <w:t>108</w:t>
        </w:r>
        <w:r w:rsidR="009E0DC1">
          <w:fldChar w:fldCharType="end"/>
        </w:r>
      </w:hyperlink>
    </w:p>
    <w:p w:rsidR="00A1205A" w:rsidRDefault="006F67B9">
      <w:pPr>
        <w:pStyle w:val="TOC3"/>
        <w:rPr>
          <w:rFonts w:ascii="Calibri" w:hAnsi="Calibri"/>
          <w:noProof/>
          <w:sz w:val="22"/>
        </w:rPr>
      </w:pPr>
      <w:hyperlink w:anchor="_Toc256000078" w:history="1">
        <w:r w:rsidR="009E0DC1">
          <w:rPr>
            <w:rStyle w:val="Hyperlink"/>
          </w:rPr>
          <w:t>7.f7) Заключения и препоръки</w:t>
        </w:r>
        <w:r w:rsidR="009E0DC1">
          <w:tab/>
        </w:r>
        <w:r w:rsidR="009E0DC1">
          <w:fldChar w:fldCharType="begin"/>
        </w:r>
        <w:r w:rsidR="009E0DC1">
          <w:instrText xml:space="preserve"> PAGEREF _Toc256000078 \h </w:instrText>
        </w:r>
        <w:r w:rsidR="009E0DC1">
          <w:fldChar w:fldCharType="separate"/>
        </w:r>
        <w:r w:rsidR="009E0DC1">
          <w:t>109</w:t>
        </w:r>
        <w:r w:rsidR="009E0DC1">
          <w:fldChar w:fldCharType="end"/>
        </w:r>
      </w:hyperlink>
    </w:p>
    <w:p w:rsidR="00A1205A" w:rsidRDefault="006F67B9">
      <w:pPr>
        <w:pStyle w:val="TOC2"/>
        <w:rPr>
          <w:rFonts w:ascii="Calibri" w:hAnsi="Calibri"/>
          <w:noProof/>
          <w:sz w:val="22"/>
        </w:rPr>
      </w:pPr>
      <w:hyperlink w:anchor="_Toc256000079" w:history="1">
        <w:r w:rsidR="009E0DC1">
          <w:rPr>
            <w:rStyle w:val="Hyperlink"/>
          </w:rPr>
          <w:t>7.g) CEQ11-5A - До каква степен интервенциите по ПРСР са допринесли за повишаване на ефективността при потреблението на вода в селското стопанство?</w:t>
        </w:r>
        <w:r w:rsidR="009E0DC1">
          <w:tab/>
        </w:r>
        <w:r w:rsidR="009E0DC1">
          <w:fldChar w:fldCharType="begin"/>
        </w:r>
        <w:r w:rsidR="009E0DC1">
          <w:instrText xml:space="preserve"> PAGEREF _Toc256000079 \h </w:instrText>
        </w:r>
        <w:r w:rsidR="009E0DC1">
          <w:fldChar w:fldCharType="separate"/>
        </w:r>
        <w:r w:rsidR="009E0DC1">
          <w:t>109</w:t>
        </w:r>
        <w:r w:rsidR="009E0DC1">
          <w:fldChar w:fldCharType="end"/>
        </w:r>
      </w:hyperlink>
    </w:p>
    <w:p w:rsidR="00A1205A" w:rsidRDefault="006F67B9">
      <w:pPr>
        <w:pStyle w:val="TOC2"/>
        <w:rPr>
          <w:rFonts w:ascii="Calibri" w:hAnsi="Calibri"/>
          <w:noProof/>
          <w:sz w:val="22"/>
        </w:rPr>
      </w:pPr>
      <w:hyperlink w:anchor="_Toc256000080" w:history="1">
        <w:r w:rsidR="009E0DC1">
          <w:rPr>
            <w:rStyle w:val="Hyperlink"/>
          </w:rPr>
          <w:t>7.h) CEQ12-5B - До каква степен интервенциите по ПРСР са допринесли за повишаване на ефективността при потреблението на енергия в селското стопанство и преработката на храни?</w:t>
        </w:r>
        <w:r w:rsidR="009E0DC1">
          <w:tab/>
        </w:r>
        <w:r w:rsidR="009E0DC1">
          <w:fldChar w:fldCharType="begin"/>
        </w:r>
        <w:r w:rsidR="009E0DC1">
          <w:instrText xml:space="preserve"> PAGEREF _Toc256000080 \h </w:instrText>
        </w:r>
        <w:r w:rsidR="009E0DC1">
          <w:fldChar w:fldCharType="separate"/>
        </w:r>
        <w:r w:rsidR="009E0DC1">
          <w:t>110</w:t>
        </w:r>
        <w:r w:rsidR="009E0DC1">
          <w:fldChar w:fldCharType="end"/>
        </w:r>
      </w:hyperlink>
    </w:p>
    <w:p w:rsidR="00A1205A" w:rsidRDefault="006F67B9">
      <w:pPr>
        <w:pStyle w:val="TOC3"/>
        <w:rPr>
          <w:rFonts w:ascii="Calibri" w:hAnsi="Calibri"/>
          <w:noProof/>
          <w:sz w:val="22"/>
        </w:rPr>
      </w:pPr>
      <w:hyperlink w:anchor="_Toc256000081" w:history="1">
        <w:r w:rsidR="009E0DC1">
          <w:rPr>
            <w:rStyle w:val="Hyperlink"/>
          </w:rPr>
          <w:t>7.h1) Списък на мерките, допринасящи за акцентираната област</w:t>
        </w:r>
        <w:r w:rsidR="009E0DC1">
          <w:tab/>
        </w:r>
        <w:r w:rsidR="009E0DC1">
          <w:fldChar w:fldCharType="begin"/>
        </w:r>
        <w:r w:rsidR="009E0DC1">
          <w:instrText xml:space="preserve"> PAGEREF _Toc256000081 \h </w:instrText>
        </w:r>
        <w:r w:rsidR="009E0DC1">
          <w:fldChar w:fldCharType="separate"/>
        </w:r>
        <w:r w:rsidR="009E0DC1">
          <w:t>111</w:t>
        </w:r>
        <w:r w:rsidR="009E0DC1">
          <w:fldChar w:fldCharType="end"/>
        </w:r>
      </w:hyperlink>
    </w:p>
    <w:p w:rsidR="00A1205A" w:rsidRDefault="006F67B9">
      <w:pPr>
        <w:pStyle w:val="TOC3"/>
        <w:rPr>
          <w:rFonts w:ascii="Calibri" w:hAnsi="Calibri"/>
          <w:noProof/>
          <w:sz w:val="22"/>
        </w:rPr>
      </w:pPr>
      <w:hyperlink w:anchor="_Toc256000082" w:history="1">
        <w:r w:rsidR="009E0DC1">
          <w:rPr>
            <w:rStyle w:val="Hyperlink"/>
          </w:rPr>
          <w:t>7.h2)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_Toc256000082 \h </w:instrText>
        </w:r>
        <w:r w:rsidR="009E0DC1">
          <w:fldChar w:fldCharType="separate"/>
        </w:r>
        <w:r w:rsidR="009E0DC1">
          <w:t>111</w:t>
        </w:r>
        <w:r w:rsidR="009E0DC1">
          <w:fldChar w:fldCharType="end"/>
        </w:r>
      </w:hyperlink>
    </w:p>
    <w:p w:rsidR="00A1205A" w:rsidRDefault="006F67B9">
      <w:pPr>
        <w:pStyle w:val="TOC3"/>
        <w:rPr>
          <w:rFonts w:ascii="Calibri" w:hAnsi="Calibri"/>
          <w:noProof/>
          <w:sz w:val="22"/>
        </w:rPr>
      </w:pPr>
      <w:hyperlink w:anchor="_Toc256000083" w:history="1">
        <w:r w:rsidR="009E0DC1">
          <w:rPr>
            <w:rStyle w:val="Hyperlink"/>
          </w:rPr>
          <w:t>7.h3) Прилагани методи</w:t>
        </w:r>
        <w:r w:rsidR="009E0DC1">
          <w:tab/>
        </w:r>
        <w:r w:rsidR="009E0DC1">
          <w:fldChar w:fldCharType="begin"/>
        </w:r>
        <w:r w:rsidR="009E0DC1">
          <w:instrText xml:space="preserve"> PAGEREF _Toc256000083 \h </w:instrText>
        </w:r>
        <w:r w:rsidR="009E0DC1">
          <w:fldChar w:fldCharType="separate"/>
        </w:r>
        <w:r w:rsidR="009E0DC1">
          <w:t>111</w:t>
        </w:r>
        <w:r w:rsidR="009E0DC1">
          <w:fldChar w:fldCharType="end"/>
        </w:r>
      </w:hyperlink>
    </w:p>
    <w:p w:rsidR="00A1205A" w:rsidRDefault="006F67B9">
      <w:pPr>
        <w:pStyle w:val="TOC3"/>
        <w:rPr>
          <w:rFonts w:ascii="Calibri" w:hAnsi="Calibri"/>
          <w:noProof/>
          <w:sz w:val="22"/>
        </w:rPr>
      </w:pPr>
      <w:hyperlink w:anchor="_Toc256000084" w:history="1">
        <w:r w:rsidR="009E0DC1">
          <w:rPr>
            <w:rStyle w:val="Hyperlink"/>
          </w:rPr>
          <w:t>7.h4) Количествени стойности на показателите и източници на данни</w:t>
        </w:r>
        <w:r w:rsidR="009E0DC1">
          <w:tab/>
        </w:r>
        <w:r w:rsidR="009E0DC1">
          <w:fldChar w:fldCharType="begin"/>
        </w:r>
        <w:r w:rsidR="009E0DC1">
          <w:instrText xml:space="preserve"> PAGEREF _Toc256000084 \h </w:instrText>
        </w:r>
        <w:r w:rsidR="009E0DC1">
          <w:fldChar w:fldCharType="separate"/>
        </w:r>
        <w:r w:rsidR="009E0DC1">
          <w:t>111</w:t>
        </w:r>
        <w:r w:rsidR="009E0DC1">
          <w:fldChar w:fldCharType="end"/>
        </w:r>
      </w:hyperlink>
    </w:p>
    <w:p w:rsidR="00A1205A" w:rsidRDefault="006F67B9">
      <w:pPr>
        <w:pStyle w:val="TOC3"/>
        <w:rPr>
          <w:rFonts w:ascii="Calibri" w:hAnsi="Calibri"/>
          <w:noProof/>
          <w:sz w:val="22"/>
        </w:rPr>
      </w:pPr>
      <w:hyperlink w:anchor="_Toc256000085" w:history="1">
        <w:r w:rsidR="009E0DC1">
          <w:rPr>
            <w:rStyle w:val="Hyperlink"/>
          </w:rPr>
          <w:t>7.h5)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_Toc256000085 \h </w:instrText>
        </w:r>
        <w:r w:rsidR="009E0DC1">
          <w:fldChar w:fldCharType="separate"/>
        </w:r>
        <w:r w:rsidR="009E0DC1">
          <w:t>112</w:t>
        </w:r>
        <w:r w:rsidR="009E0DC1">
          <w:fldChar w:fldCharType="end"/>
        </w:r>
      </w:hyperlink>
    </w:p>
    <w:p w:rsidR="00A1205A" w:rsidRDefault="006F67B9">
      <w:pPr>
        <w:pStyle w:val="TOC3"/>
        <w:rPr>
          <w:rFonts w:ascii="Calibri" w:hAnsi="Calibri"/>
          <w:noProof/>
          <w:sz w:val="22"/>
        </w:rPr>
      </w:pPr>
      <w:hyperlink w:anchor="_Toc256000086" w:history="1">
        <w:r w:rsidR="009E0DC1">
          <w:rPr>
            <w:rStyle w:val="Hyperlink"/>
          </w:rPr>
          <w:t>7.h6) Отговор на въпрос за оценка</w:t>
        </w:r>
        <w:r w:rsidR="009E0DC1">
          <w:tab/>
        </w:r>
        <w:r w:rsidR="009E0DC1">
          <w:fldChar w:fldCharType="begin"/>
        </w:r>
        <w:r w:rsidR="009E0DC1">
          <w:instrText xml:space="preserve"> PAGEREF _Toc256000086 \h </w:instrText>
        </w:r>
        <w:r w:rsidR="009E0DC1">
          <w:fldChar w:fldCharType="separate"/>
        </w:r>
        <w:r w:rsidR="009E0DC1">
          <w:t>112</w:t>
        </w:r>
        <w:r w:rsidR="009E0DC1">
          <w:fldChar w:fldCharType="end"/>
        </w:r>
      </w:hyperlink>
    </w:p>
    <w:p w:rsidR="00A1205A" w:rsidRDefault="006F67B9">
      <w:pPr>
        <w:pStyle w:val="TOC3"/>
        <w:rPr>
          <w:rFonts w:ascii="Calibri" w:hAnsi="Calibri"/>
          <w:noProof/>
          <w:sz w:val="22"/>
        </w:rPr>
      </w:pPr>
      <w:hyperlink w:anchor="_Toc256000087" w:history="1">
        <w:r w:rsidR="009E0DC1">
          <w:rPr>
            <w:rStyle w:val="Hyperlink"/>
          </w:rPr>
          <w:t>7.h7) Заключения и препоръки</w:t>
        </w:r>
        <w:r w:rsidR="009E0DC1">
          <w:tab/>
        </w:r>
        <w:r w:rsidR="009E0DC1">
          <w:fldChar w:fldCharType="begin"/>
        </w:r>
        <w:r w:rsidR="009E0DC1">
          <w:instrText xml:space="preserve"> PAGEREF _Toc256000087 \h </w:instrText>
        </w:r>
        <w:r w:rsidR="009E0DC1">
          <w:fldChar w:fldCharType="separate"/>
        </w:r>
        <w:r w:rsidR="009E0DC1">
          <w:t>113</w:t>
        </w:r>
        <w:r w:rsidR="009E0DC1">
          <w:fldChar w:fldCharType="end"/>
        </w:r>
      </w:hyperlink>
    </w:p>
    <w:p w:rsidR="00A1205A" w:rsidRDefault="006F67B9">
      <w:pPr>
        <w:pStyle w:val="TOC2"/>
        <w:rPr>
          <w:rFonts w:ascii="Calibri" w:hAnsi="Calibri"/>
          <w:noProof/>
          <w:sz w:val="22"/>
        </w:rPr>
      </w:pPr>
      <w:hyperlink w:anchor="_Toc256000088" w:history="1">
        <w:r w:rsidR="009E0DC1">
          <w:rPr>
            <w:rStyle w:val="Hyperlink"/>
          </w:rPr>
          <w:t>7.i) CEQ13-5C - До каква степен интервенциите по ПРСР са допринесли за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r w:rsidR="009E0DC1">
          <w:tab/>
        </w:r>
        <w:r w:rsidR="009E0DC1">
          <w:fldChar w:fldCharType="begin"/>
        </w:r>
        <w:r w:rsidR="009E0DC1">
          <w:instrText xml:space="preserve"> PAGEREF _Toc256000088 \h </w:instrText>
        </w:r>
        <w:r w:rsidR="009E0DC1">
          <w:fldChar w:fldCharType="separate"/>
        </w:r>
        <w:r w:rsidR="009E0DC1">
          <w:t>113</w:t>
        </w:r>
        <w:r w:rsidR="009E0DC1">
          <w:fldChar w:fldCharType="end"/>
        </w:r>
      </w:hyperlink>
    </w:p>
    <w:p w:rsidR="00A1205A" w:rsidRDefault="006F67B9">
      <w:pPr>
        <w:pStyle w:val="TOC3"/>
        <w:rPr>
          <w:rFonts w:ascii="Calibri" w:hAnsi="Calibri"/>
          <w:noProof/>
          <w:sz w:val="22"/>
        </w:rPr>
      </w:pPr>
      <w:hyperlink w:anchor="_Toc256000089" w:history="1">
        <w:r w:rsidR="009E0DC1">
          <w:rPr>
            <w:rStyle w:val="Hyperlink"/>
          </w:rPr>
          <w:t>7.i1) Списък на мерките, допринасящи за акцентираната област</w:t>
        </w:r>
        <w:r w:rsidR="009E0DC1">
          <w:tab/>
        </w:r>
        <w:r w:rsidR="009E0DC1">
          <w:fldChar w:fldCharType="begin"/>
        </w:r>
        <w:r w:rsidR="009E0DC1">
          <w:instrText xml:space="preserve"> PAGEREF _Toc256000089 \h </w:instrText>
        </w:r>
        <w:r w:rsidR="009E0DC1">
          <w:fldChar w:fldCharType="separate"/>
        </w:r>
        <w:r w:rsidR="009E0DC1">
          <w:t>114</w:t>
        </w:r>
        <w:r w:rsidR="009E0DC1">
          <w:fldChar w:fldCharType="end"/>
        </w:r>
      </w:hyperlink>
    </w:p>
    <w:p w:rsidR="00A1205A" w:rsidRDefault="006F67B9">
      <w:pPr>
        <w:pStyle w:val="TOC3"/>
        <w:rPr>
          <w:rFonts w:ascii="Calibri" w:hAnsi="Calibri"/>
          <w:noProof/>
          <w:sz w:val="22"/>
        </w:rPr>
      </w:pPr>
      <w:hyperlink w:anchor="_Toc256000090" w:history="1">
        <w:r w:rsidR="009E0DC1">
          <w:rPr>
            <w:rStyle w:val="Hyperlink"/>
          </w:rPr>
          <w:t>7.i2)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_Toc256000090 \h </w:instrText>
        </w:r>
        <w:r w:rsidR="009E0DC1">
          <w:fldChar w:fldCharType="separate"/>
        </w:r>
        <w:r w:rsidR="009E0DC1">
          <w:t>114</w:t>
        </w:r>
        <w:r w:rsidR="009E0DC1">
          <w:fldChar w:fldCharType="end"/>
        </w:r>
      </w:hyperlink>
    </w:p>
    <w:p w:rsidR="00A1205A" w:rsidRDefault="006F67B9">
      <w:pPr>
        <w:pStyle w:val="TOC3"/>
        <w:rPr>
          <w:rFonts w:ascii="Calibri" w:hAnsi="Calibri"/>
          <w:noProof/>
          <w:sz w:val="22"/>
        </w:rPr>
      </w:pPr>
      <w:hyperlink w:anchor="_Toc256000091" w:history="1">
        <w:r w:rsidR="009E0DC1">
          <w:rPr>
            <w:rStyle w:val="Hyperlink"/>
          </w:rPr>
          <w:t>7.i3) Прилагани методи</w:t>
        </w:r>
        <w:r w:rsidR="009E0DC1">
          <w:tab/>
        </w:r>
        <w:r w:rsidR="009E0DC1">
          <w:fldChar w:fldCharType="begin"/>
        </w:r>
        <w:r w:rsidR="009E0DC1">
          <w:instrText xml:space="preserve"> PAGEREF _Toc256000091 \h </w:instrText>
        </w:r>
        <w:r w:rsidR="009E0DC1">
          <w:fldChar w:fldCharType="separate"/>
        </w:r>
        <w:r w:rsidR="009E0DC1">
          <w:t>114</w:t>
        </w:r>
        <w:r w:rsidR="009E0DC1">
          <w:fldChar w:fldCharType="end"/>
        </w:r>
      </w:hyperlink>
    </w:p>
    <w:p w:rsidR="00A1205A" w:rsidRDefault="006F67B9">
      <w:pPr>
        <w:pStyle w:val="TOC3"/>
        <w:rPr>
          <w:rFonts w:ascii="Calibri" w:hAnsi="Calibri"/>
          <w:noProof/>
          <w:sz w:val="22"/>
        </w:rPr>
      </w:pPr>
      <w:hyperlink w:anchor="_Toc256000092" w:history="1">
        <w:r w:rsidR="009E0DC1">
          <w:rPr>
            <w:rStyle w:val="Hyperlink"/>
          </w:rPr>
          <w:t>7.i4) Количествени стойности на показателите и източници на данни</w:t>
        </w:r>
        <w:r w:rsidR="009E0DC1">
          <w:tab/>
        </w:r>
        <w:r w:rsidR="009E0DC1">
          <w:fldChar w:fldCharType="begin"/>
        </w:r>
        <w:r w:rsidR="009E0DC1">
          <w:instrText xml:space="preserve"> PAGEREF _Toc256000092 \h </w:instrText>
        </w:r>
        <w:r w:rsidR="009E0DC1">
          <w:fldChar w:fldCharType="separate"/>
        </w:r>
        <w:r w:rsidR="009E0DC1">
          <w:t>114</w:t>
        </w:r>
        <w:r w:rsidR="009E0DC1">
          <w:fldChar w:fldCharType="end"/>
        </w:r>
      </w:hyperlink>
    </w:p>
    <w:p w:rsidR="00A1205A" w:rsidRDefault="006F67B9">
      <w:pPr>
        <w:pStyle w:val="TOC3"/>
        <w:rPr>
          <w:rFonts w:ascii="Calibri" w:hAnsi="Calibri"/>
          <w:noProof/>
          <w:sz w:val="22"/>
        </w:rPr>
      </w:pPr>
      <w:hyperlink w:anchor="_Toc256000093" w:history="1">
        <w:r w:rsidR="009E0DC1">
          <w:rPr>
            <w:rStyle w:val="Hyperlink"/>
          </w:rPr>
          <w:t>7.i5)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_Toc256000093 \h </w:instrText>
        </w:r>
        <w:r w:rsidR="009E0DC1">
          <w:fldChar w:fldCharType="separate"/>
        </w:r>
        <w:r w:rsidR="009E0DC1">
          <w:t>115</w:t>
        </w:r>
        <w:r w:rsidR="009E0DC1">
          <w:fldChar w:fldCharType="end"/>
        </w:r>
      </w:hyperlink>
    </w:p>
    <w:p w:rsidR="00A1205A" w:rsidRDefault="006F67B9">
      <w:pPr>
        <w:pStyle w:val="TOC3"/>
        <w:rPr>
          <w:rFonts w:ascii="Calibri" w:hAnsi="Calibri"/>
          <w:noProof/>
          <w:sz w:val="22"/>
        </w:rPr>
      </w:pPr>
      <w:hyperlink w:anchor="_Toc256000094" w:history="1">
        <w:r w:rsidR="009E0DC1">
          <w:rPr>
            <w:rStyle w:val="Hyperlink"/>
          </w:rPr>
          <w:t>7.i6) Отговор на въпрос за оценка</w:t>
        </w:r>
        <w:r w:rsidR="009E0DC1">
          <w:tab/>
        </w:r>
        <w:r w:rsidR="009E0DC1">
          <w:fldChar w:fldCharType="begin"/>
        </w:r>
        <w:r w:rsidR="009E0DC1">
          <w:instrText xml:space="preserve"> PAGEREF _Toc256000094 \h </w:instrText>
        </w:r>
        <w:r w:rsidR="009E0DC1">
          <w:fldChar w:fldCharType="separate"/>
        </w:r>
        <w:r w:rsidR="009E0DC1">
          <w:t>115</w:t>
        </w:r>
        <w:r w:rsidR="009E0DC1">
          <w:fldChar w:fldCharType="end"/>
        </w:r>
      </w:hyperlink>
    </w:p>
    <w:p w:rsidR="00A1205A" w:rsidRDefault="006F67B9">
      <w:pPr>
        <w:pStyle w:val="TOC3"/>
        <w:rPr>
          <w:rFonts w:ascii="Calibri" w:hAnsi="Calibri"/>
          <w:noProof/>
          <w:sz w:val="22"/>
        </w:rPr>
      </w:pPr>
      <w:hyperlink w:anchor="_Toc256000095" w:history="1">
        <w:r w:rsidR="009E0DC1">
          <w:rPr>
            <w:rStyle w:val="Hyperlink"/>
          </w:rPr>
          <w:t>7.i7) Заключения и препоръки</w:t>
        </w:r>
        <w:r w:rsidR="009E0DC1">
          <w:tab/>
        </w:r>
        <w:r w:rsidR="009E0DC1">
          <w:fldChar w:fldCharType="begin"/>
        </w:r>
        <w:r w:rsidR="009E0DC1">
          <w:instrText xml:space="preserve"> PAGEREF _Toc256000095 \h </w:instrText>
        </w:r>
        <w:r w:rsidR="009E0DC1">
          <w:fldChar w:fldCharType="separate"/>
        </w:r>
        <w:r w:rsidR="009E0DC1">
          <w:t>116</w:t>
        </w:r>
        <w:r w:rsidR="009E0DC1">
          <w:fldChar w:fldCharType="end"/>
        </w:r>
      </w:hyperlink>
    </w:p>
    <w:p w:rsidR="00A1205A" w:rsidRDefault="006F67B9">
      <w:pPr>
        <w:pStyle w:val="TOC2"/>
        <w:rPr>
          <w:rFonts w:ascii="Calibri" w:hAnsi="Calibri"/>
          <w:noProof/>
          <w:sz w:val="22"/>
        </w:rPr>
      </w:pPr>
      <w:hyperlink w:anchor="_Toc256000096" w:history="1">
        <w:r w:rsidR="009E0DC1">
          <w:rPr>
            <w:rStyle w:val="Hyperlink"/>
          </w:rPr>
          <w:t>7.j) CEQ14-5D - До каква степен интервенциите по ПРСР са допринесли за намаляване на емисиите на парникови газове и на амоняк от селското стопанство?</w:t>
        </w:r>
        <w:r w:rsidR="009E0DC1">
          <w:tab/>
        </w:r>
        <w:r w:rsidR="009E0DC1">
          <w:fldChar w:fldCharType="begin"/>
        </w:r>
        <w:r w:rsidR="009E0DC1">
          <w:instrText xml:space="preserve"> PAGEREF _Toc256000096 \h </w:instrText>
        </w:r>
        <w:r w:rsidR="009E0DC1">
          <w:fldChar w:fldCharType="separate"/>
        </w:r>
        <w:r w:rsidR="009E0DC1">
          <w:t>116</w:t>
        </w:r>
        <w:r w:rsidR="009E0DC1">
          <w:fldChar w:fldCharType="end"/>
        </w:r>
      </w:hyperlink>
    </w:p>
    <w:p w:rsidR="00A1205A" w:rsidRDefault="006F67B9">
      <w:pPr>
        <w:pStyle w:val="TOC3"/>
        <w:rPr>
          <w:rFonts w:ascii="Calibri" w:hAnsi="Calibri"/>
          <w:noProof/>
          <w:sz w:val="22"/>
        </w:rPr>
      </w:pPr>
      <w:hyperlink w:anchor="_Toc256000097" w:history="1">
        <w:r w:rsidR="009E0DC1">
          <w:rPr>
            <w:rStyle w:val="Hyperlink"/>
          </w:rPr>
          <w:t>7.j1) Списък на мерките, допринасящи за акцентираната област</w:t>
        </w:r>
        <w:r w:rsidR="009E0DC1">
          <w:tab/>
        </w:r>
        <w:r w:rsidR="009E0DC1">
          <w:fldChar w:fldCharType="begin"/>
        </w:r>
        <w:r w:rsidR="009E0DC1">
          <w:instrText xml:space="preserve"> PAGEREF _Toc256000097 \h </w:instrText>
        </w:r>
        <w:r w:rsidR="009E0DC1">
          <w:fldChar w:fldCharType="separate"/>
        </w:r>
        <w:r w:rsidR="009E0DC1">
          <w:t>117</w:t>
        </w:r>
        <w:r w:rsidR="009E0DC1">
          <w:fldChar w:fldCharType="end"/>
        </w:r>
      </w:hyperlink>
    </w:p>
    <w:p w:rsidR="00A1205A" w:rsidRDefault="006F67B9">
      <w:pPr>
        <w:pStyle w:val="TOC3"/>
        <w:rPr>
          <w:rFonts w:ascii="Calibri" w:hAnsi="Calibri"/>
          <w:noProof/>
          <w:sz w:val="22"/>
        </w:rPr>
      </w:pPr>
      <w:hyperlink w:anchor="_Toc256000098" w:history="1">
        <w:r w:rsidR="009E0DC1">
          <w:rPr>
            <w:rStyle w:val="Hyperlink"/>
          </w:rPr>
          <w:t>7.j2)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_Toc256000098 \h </w:instrText>
        </w:r>
        <w:r w:rsidR="009E0DC1">
          <w:fldChar w:fldCharType="separate"/>
        </w:r>
        <w:r w:rsidR="009E0DC1">
          <w:t>117</w:t>
        </w:r>
        <w:r w:rsidR="009E0DC1">
          <w:fldChar w:fldCharType="end"/>
        </w:r>
      </w:hyperlink>
    </w:p>
    <w:p w:rsidR="00A1205A" w:rsidRDefault="006F67B9">
      <w:pPr>
        <w:pStyle w:val="TOC3"/>
        <w:rPr>
          <w:rFonts w:ascii="Calibri" w:hAnsi="Calibri"/>
          <w:noProof/>
          <w:sz w:val="22"/>
        </w:rPr>
      </w:pPr>
      <w:hyperlink w:anchor="_Toc256000099" w:history="1">
        <w:r w:rsidR="009E0DC1">
          <w:rPr>
            <w:rStyle w:val="Hyperlink"/>
          </w:rPr>
          <w:t>7.j3) Прилагани методи</w:t>
        </w:r>
        <w:r w:rsidR="009E0DC1">
          <w:tab/>
        </w:r>
        <w:r w:rsidR="009E0DC1">
          <w:fldChar w:fldCharType="begin"/>
        </w:r>
        <w:r w:rsidR="009E0DC1">
          <w:instrText xml:space="preserve"> PAGEREF _Toc256000099 \h </w:instrText>
        </w:r>
        <w:r w:rsidR="009E0DC1">
          <w:fldChar w:fldCharType="separate"/>
        </w:r>
        <w:r w:rsidR="009E0DC1">
          <w:t>117</w:t>
        </w:r>
        <w:r w:rsidR="009E0DC1">
          <w:fldChar w:fldCharType="end"/>
        </w:r>
      </w:hyperlink>
    </w:p>
    <w:p w:rsidR="00A1205A" w:rsidRDefault="006F67B9">
      <w:pPr>
        <w:pStyle w:val="TOC3"/>
        <w:rPr>
          <w:rFonts w:ascii="Calibri" w:hAnsi="Calibri"/>
          <w:noProof/>
          <w:sz w:val="22"/>
        </w:rPr>
      </w:pPr>
      <w:hyperlink w:anchor="_Toc256000100" w:history="1">
        <w:r w:rsidR="009E0DC1">
          <w:rPr>
            <w:rStyle w:val="Hyperlink"/>
          </w:rPr>
          <w:t>7.j4) Количествени стойности на показателите и източници на данни</w:t>
        </w:r>
        <w:r w:rsidR="009E0DC1">
          <w:tab/>
        </w:r>
        <w:r w:rsidR="009E0DC1">
          <w:fldChar w:fldCharType="begin"/>
        </w:r>
        <w:r w:rsidR="009E0DC1">
          <w:instrText xml:space="preserve"> PAGEREF _Toc256000100 \h </w:instrText>
        </w:r>
        <w:r w:rsidR="009E0DC1">
          <w:fldChar w:fldCharType="separate"/>
        </w:r>
        <w:r w:rsidR="009E0DC1">
          <w:t>117</w:t>
        </w:r>
        <w:r w:rsidR="009E0DC1">
          <w:fldChar w:fldCharType="end"/>
        </w:r>
      </w:hyperlink>
    </w:p>
    <w:p w:rsidR="00A1205A" w:rsidRDefault="006F67B9">
      <w:pPr>
        <w:pStyle w:val="TOC3"/>
        <w:rPr>
          <w:rFonts w:ascii="Calibri" w:hAnsi="Calibri"/>
          <w:noProof/>
          <w:sz w:val="22"/>
        </w:rPr>
      </w:pPr>
      <w:hyperlink w:anchor="_Toc256000101" w:history="1">
        <w:r w:rsidR="009E0DC1">
          <w:rPr>
            <w:rStyle w:val="Hyperlink"/>
          </w:rPr>
          <w:t>7.j5)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_Toc256000101 \h </w:instrText>
        </w:r>
        <w:r w:rsidR="009E0DC1">
          <w:fldChar w:fldCharType="separate"/>
        </w:r>
        <w:r w:rsidR="009E0DC1">
          <w:t>118</w:t>
        </w:r>
        <w:r w:rsidR="009E0DC1">
          <w:fldChar w:fldCharType="end"/>
        </w:r>
      </w:hyperlink>
    </w:p>
    <w:p w:rsidR="00A1205A" w:rsidRDefault="006F67B9">
      <w:pPr>
        <w:pStyle w:val="TOC3"/>
        <w:rPr>
          <w:rFonts w:ascii="Calibri" w:hAnsi="Calibri"/>
          <w:noProof/>
          <w:sz w:val="22"/>
        </w:rPr>
      </w:pPr>
      <w:hyperlink w:anchor="_Toc256000102" w:history="1">
        <w:r w:rsidR="009E0DC1">
          <w:rPr>
            <w:rStyle w:val="Hyperlink"/>
          </w:rPr>
          <w:t>7.j6) Отговор на въпрос за оценка</w:t>
        </w:r>
        <w:r w:rsidR="009E0DC1">
          <w:tab/>
        </w:r>
        <w:r w:rsidR="009E0DC1">
          <w:fldChar w:fldCharType="begin"/>
        </w:r>
        <w:r w:rsidR="009E0DC1">
          <w:instrText xml:space="preserve"> PAGEREF _Toc256000102 \h </w:instrText>
        </w:r>
        <w:r w:rsidR="009E0DC1">
          <w:fldChar w:fldCharType="separate"/>
        </w:r>
        <w:r w:rsidR="009E0DC1">
          <w:t>118</w:t>
        </w:r>
        <w:r w:rsidR="009E0DC1">
          <w:fldChar w:fldCharType="end"/>
        </w:r>
      </w:hyperlink>
    </w:p>
    <w:p w:rsidR="00A1205A" w:rsidRDefault="006F67B9">
      <w:pPr>
        <w:pStyle w:val="TOC3"/>
        <w:rPr>
          <w:rFonts w:ascii="Calibri" w:hAnsi="Calibri"/>
          <w:noProof/>
          <w:sz w:val="22"/>
        </w:rPr>
      </w:pPr>
      <w:hyperlink w:anchor="_Toc256000103" w:history="1">
        <w:r w:rsidR="009E0DC1">
          <w:rPr>
            <w:rStyle w:val="Hyperlink"/>
          </w:rPr>
          <w:t>7.j7) Заключения и препоръки</w:t>
        </w:r>
        <w:r w:rsidR="009E0DC1">
          <w:tab/>
        </w:r>
        <w:r w:rsidR="009E0DC1">
          <w:fldChar w:fldCharType="begin"/>
        </w:r>
        <w:r w:rsidR="009E0DC1">
          <w:instrText xml:space="preserve"> PAGEREF _Toc256000103 \h </w:instrText>
        </w:r>
        <w:r w:rsidR="009E0DC1">
          <w:fldChar w:fldCharType="separate"/>
        </w:r>
        <w:r w:rsidR="009E0DC1">
          <w:t>119</w:t>
        </w:r>
        <w:r w:rsidR="009E0DC1">
          <w:fldChar w:fldCharType="end"/>
        </w:r>
      </w:hyperlink>
    </w:p>
    <w:p w:rsidR="00A1205A" w:rsidRDefault="006F67B9">
      <w:pPr>
        <w:pStyle w:val="TOC2"/>
        <w:rPr>
          <w:rFonts w:ascii="Calibri" w:hAnsi="Calibri"/>
          <w:noProof/>
          <w:sz w:val="22"/>
        </w:rPr>
      </w:pPr>
      <w:hyperlink w:anchor="_Toc256000104" w:history="1">
        <w:r w:rsidR="009E0DC1">
          <w:rPr>
            <w:rStyle w:val="Hyperlink"/>
          </w:rPr>
          <w:t>7.k) CEQ17-6B - До каква степен интервенциите по ПРСР са подпомогнали местното развитие в селските райони?</w:t>
        </w:r>
        <w:r w:rsidR="009E0DC1">
          <w:tab/>
        </w:r>
        <w:r w:rsidR="009E0DC1">
          <w:fldChar w:fldCharType="begin"/>
        </w:r>
        <w:r w:rsidR="009E0DC1">
          <w:instrText xml:space="preserve"> PAGEREF _Toc256000104 \h </w:instrText>
        </w:r>
        <w:r w:rsidR="009E0DC1">
          <w:fldChar w:fldCharType="separate"/>
        </w:r>
        <w:r w:rsidR="009E0DC1">
          <w:t>119</w:t>
        </w:r>
        <w:r w:rsidR="009E0DC1">
          <w:fldChar w:fldCharType="end"/>
        </w:r>
      </w:hyperlink>
    </w:p>
    <w:p w:rsidR="00A1205A" w:rsidRDefault="006F67B9">
      <w:pPr>
        <w:pStyle w:val="TOC3"/>
        <w:rPr>
          <w:rFonts w:ascii="Calibri" w:hAnsi="Calibri"/>
          <w:noProof/>
          <w:sz w:val="22"/>
        </w:rPr>
      </w:pPr>
      <w:hyperlink w:anchor="_Toc256000105" w:history="1">
        <w:r w:rsidR="009E0DC1">
          <w:rPr>
            <w:rStyle w:val="Hyperlink"/>
          </w:rPr>
          <w:t>7.k1) Списък на мерките, допринасящи за акцентираната област</w:t>
        </w:r>
        <w:r w:rsidR="009E0DC1">
          <w:tab/>
        </w:r>
        <w:r w:rsidR="009E0DC1">
          <w:fldChar w:fldCharType="begin"/>
        </w:r>
        <w:r w:rsidR="009E0DC1">
          <w:instrText xml:space="preserve"> PAGEREF _Toc256000105 \h </w:instrText>
        </w:r>
        <w:r w:rsidR="009E0DC1">
          <w:fldChar w:fldCharType="separate"/>
        </w:r>
        <w:r w:rsidR="009E0DC1">
          <w:t>120</w:t>
        </w:r>
        <w:r w:rsidR="009E0DC1">
          <w:fldChar w:fldCharType="end"/>
        </w:r>
      </w:hyperlink>
    </w:p>
    <w:p w:rsidR="00A1205A" w:rsidRDefault="006F67B9">
      <w:pPr>
        <w:pStyle w:val="TOC3"/>
        <w:rPr>
          <w:rFonts w:ascii="Calibri" w:hAnsi="Calibri"/>
          <w:noProof/>
          <w:sz w:val="22"/>
        </w:rPr>
      </w:pPr>
      <w:hyperlink w:anchor="_Toc256000106" w:history="1">
        <w:r w:rsidR="009E0DC1">
          <w:rPr>
            <w:rStyle w:val="Hyperlink"/>
          </w:rPr>
          <w:t>7.k2) Връзка между критериите за преценка, общите и допълнителните показатели за резултатите, използвани за отговор на ОВО</w:t>
        </w:r>
        <w:r w:rsidR="009E0DC1">
          <w:tab/>
        </w:r>
        <w:r w:rsidR="009E0DC1">
          <w:fldChar w:fldCharType="begin"/>
        </w:r>
        <w:r w:rsidR="009E0DC1">
          <w:instrText xml:space="preserve"> PAGEREF _Toc256000106 \h </w:instrText>
        </w:r>
        <w:r w:rsidR="009E0DC1">
          <w:fldChar w:fldCharType="separate"/>
        </w:r>
        <w:r w:rsidR="009E0DC1">
          <w:t>120</w:t>
        </w:r>
        <w:r w:rsidR="009E0DC1">
          <w:fldChar w:fldCharType="end"/>
        </w:r>
      </w:hyperlink>
    </w:p>
    <w:p w:rsidR="00A1205A" w:rsidRDefault="006F67B9">
      <w:pPr>
        <w:pStyle w:val="TOC3"/>
        <w:rPr>
          <w:rFonts w:ascii="Calibri" w:hAnsi="Calibri"/>
          <w:noProof/>
          <w:sz w:val="22"/>
        </w:rPr>
      </w:pPr>
      <w:hyperlink w:anchor="_Toc256000107" w:history="1">
        <w:r w:rsidR="009E0DC1">
          <w:rPr>
            <w:rStyle w:val="Hyperlink"/>
          </w:rPr>
          <w:t>7.k3) Прилагани методи</w:t>
        </w:r>
        <w:r w:rsidR="009E0DC1">
          <w:tab/>
        </w:r>
        <w:r w:rsidR="009E0DC1">
          <w:fldChar w:fldCharType="begin"/>
        </w:r>
        <w:r w:rsidR="009E0DC1">
          <w:instrText xml:space="preserve"> PAGEREF _Toc256000107 \h </w:instrText>
        </w:r>
        <w:r w:rsidR="009E0DC1">
          <w:fldChar w:fldCharType="separate"/>
        </w:r>
        <w:r w:rsidR="009E0DC1">
          <w:t>120</w:t>
        </w:r>
        <w:r w:rsidR="009E0DC1">
          <w:fldChar w:fldCharType="end"/>
        </w:r>
      </w:hyperlink>
    </w:p>
    <w:p w:rsidR="00A1205A" w:rsidRDefault="006F67B9">
      <w:pPr>
        <w:pStyle w:val="TOC3"/>
        <w:rPr>
          <w:rFonts w:ascii="Calibri" w:hAnsi="Calibri"/>
          <w:noProof/>
          <w:sz w:val="22"/>
        </w:rPr>
      </w:pPr>
      <w:hyperlink w:anchor="_Toc256000108" w:history="1">
        <w:r w:rsidR="009E0DC1">
          <w:rPr>
            <w:rStyle w:val="Hyperlink"/>
          </w:rPr>
          <w:t>7.k4) Количествени стойности на показателите и източници на данни</w:t>
        </w:r>
        <w:r w:rsidR="009E0DC1">
          <w:tab/>
        </w:r>
        <w:r w:rsidR="009E0DC1">
          <w:fldChar w:fldCharType="begin"/>
        </w:r>
        <w:r w:rsidR="009E0DC1">
          <w:instrText xml:space="preserve"> PAGEREF _Toc256000108 \h </w:instrText>
        </w:r>
        <w:r w:rsidR="009E0DC1">
          <w:fldChar w:fldCharType="separate"/>
        </w:r>
        <w:r w:rsidR="009E0DC1">
          <w:t>120</w:t>
        </w:r>
        <w:r w:rsidR="009E0DC1">
          <w:fldChar w:fldCharType="end"/>
        </w:r>
      </w:hyperlink>
    </w:p>
    <w:p w:rsidR="00A1205A" w:rsidRDefault="006F67B9">
      <w:pPr>
        <w:pStyle w:val="TOC3"/>
        <w:rPr>
          <w:rFonts w:ascii="Calibri" w:hAnsi="Calibri"/>
          <w:noProof/>
          <w:sz w:val="22"/>
        </w:rPr>
      </w:pPr>
      <w:hyperlink w:anchor="_Toc256000109" w:history="1">
        <w:r w:rsidR="009E0DC1">
          <w:rPr>
            <w:rStyle w:val="Hyperlink"/>
          </w:rPr>
          <w:t>7.k5)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_Toc256000109 \h </w:instrText>
        </w:r>
        <w:r w:rsidR="009E0DC1">
          <w:fldChar w:fldCharType="separate"/>
        </w:r>
        <w:r w:rsidR="009E0DC1">
          <w:t>121</w:t>
        </w:r>
        <w:r w:rsidR="009E0DC1">
          <w:fldChar w:fldCharType="end"/>
        </w:r>
      </w:hyperlink>
    </w:p>
    <w:p w:rsidR="00A1205A" w:rsidRDefault="006F67B9">
      <w:pPr>
        <w:pStyle w:val="TOC3"/>
        <w:rPr>
          <w:rFonts w:ascii="Calibri" w:hAnsi="Calibri"/>
          <w:noProof/>
          <w:sz w:val="22"/>
        </w:rPr>
      </w:pPr>
      <w:hyperlink w:anchor="_Toc256000110" w:history="1">
        <w:r w:rsidR="009E0DC1">
          <w:rPr>
            <w:rStyle w:val="Hyperlink"/>
          </w:rPr>
          <w:t>7.k6) Отговор на въпрос за оценка</w:t>
        </w:r>
        <w:r w:rsidR="009E0DC1">
          <w:tab/>
        </w:r>
        <w:r w:rsidR="009E0DC1">
          <w:fldChar w:fldCharType="begin"/>
        </w:r>
        <w:r w:rsidR="009E0DC1">
          <w:instrText xml:space="preserve"> PAGEREF _Toc256000110 \h </w:instrText>
        </w:r>
        <w:r w:rsidR="009E0DC1">
          <w:fldChar w:fldCharType="separate"/>
        </w:r>
        <w:r w:rsidR="009E0DC1">
          <w:t>121</w:t>
        </w:r>
        <w:r w:rsidR="009E0DC1">
          <w:fldChar w:fldCharType="end"/>
        </w:r>
      </w:hyperlink>
    </w:p>
    <w:p w:rsidR="00A1205A" w:rsidRDefault="006F67B9">
      <w:pPr>
        <w:pStyle w:val="TOC3"/>
        <w:rPr>
          <w:rFonts w:ascii="Calibri" w:hAnsi="Calibri"/>
          <w:noProof/>
          <w:sz w:val="22"/>
        </w:rPr>
      </w:pPr>
      <w:hyperlink w:anchor="_Toc256000111" w:history="1">
        <w:r w:rsidR="009E0DC1">
          <w:rPr>
            <w:rStyle w:val="Hyperlink"/>
          </w:rPr>
          <w:t>7.k7) Заключения и препоръки</w:t>
        </w:r>
        <w:r w:rsidR="009E0DC1">
          <w:tab/>
        </w:r>
        <w:r w:rsidR="009E0DC1">
          <w:fldChar w:fldCharType="begin"/>
        </w:r>
        <w:r w:rsidR="009E0DC1">
          <w:instrText xml:space="preserve"> PAGEREF _Toc256000111 \h </w:instrText>
        </w:r>
        <w:r w:rsidR="009E0DC1">
          <w:fldChar w:fldCharType="separate"/>
        </w:r>
        <w:r w:rsidR="009E0DC1">
          <w:t>122</w:t>
        </w:r>
        <w:r w:rsidR="009E0DC1">
          <w:fldChar w:fldCharType="end"/>
        </w:r>
      </w:hyperlink>
    </w:p>
    <w:p w:rsidR="00A1205A" w:rsidRDefault="006F67B9">
      <w:pPr>
        <w:pStyle w:val="TOC2"/>
        <w:rPr>
          <w:rFonts w:ascii="Calibri" w:hAnsi="Calibri"/>
          <w:noProof/>
          <w:sz w:val="22"/>
        </w:rPr>
      </w:pPr>
      <w:hyperlink w:anchor="_Toc256000112" w:history="1">
        <w:r w:rsidR="009E0DC1">
          <w:rPr>
            <w:rStyle w:val="Hyperlink"/>
          </w:rPr>
          <w:t>7.l) CEQ19-PE - В каква степен полезните взаимодействия между приоритетите и областите с поставен акцент са повишили ефективността на ПРСР?</w:t>
        </w:r>
        <w:r w:rsidR="009E0DC1">
          <w:tab/>
        </w:r>
        <w:r w:rsidR="009E0DC1">
          <w:fldChar w:fldCharType="begin"/>
        </w:r>
        <w:r w:rsidR="009E0DC1">
          <w:instrText xml:space="preserve"> PAGEREF _Toc256000112 \h </w:instrText>
        </w:r>
        <w:r w:rsidR="009E0DC1">
          <w:fldChar w:fldCharType="separate"/>
        </w:r>
        <w:r w:rsidR="009E0DC1">
          <w:t>122</w:t>
        </w:r>
        <w:r w:rsidR="009E0DC1">
          <w:fldChar w:fldCharType="end"/>
        </w:r>
      </w:hyperlink>
    </w:p>
    <w:p w:rsidR="00A1205A" w:rsidRDefault="006F67B9">
      <w:pPr>
        <w:pStyle w:val="TOC3"/>
        <w:rPr>
          <w:rFonts w:ascii="Calibri" w:hAnsi="Calibri"/>
          <w:noProof/>
          <w:sz w:val="22"/>
        </w:rPr>
      </w:pPr>
      <w:hyperlink w:anchor="_Toc256000113" w:history="1">
        <w:r w:rsidR="009E0DC1">
          <w:rPr>
            <w:rStyle w:val="Hyperlink"/>
          </w:rPr>
          <w:t>7.l1) Синергии и ефект на всеобхватност в програмата</w:t>
        </w:r>
        <w:r w:rsidR="009E0DC1">
          <w:tab/>
        </w:r>
        <w:r w:rsidR="009E0DC1">
          <w:fldChar w:fldCharType="begin"/>
        </w:r>
        <w:r w:rsidR="009E0DC1">
          <w:instrText xml:space="preserve"> PAGEREF _Toc256000113 \h </w:instrText>
        </w:r>
        <w:r w:rsidR="009E0DC1">
          <w:fldChar w:fldCharType="separate"/>
        </w:r>
        <w:r w:rsidR="009E0DC1">
          <w:t>123</w:t>
        </w:r>
        <w:r w:rsidR="009E0DC1">
          <w:fldChar w:fldCharType="end"/>
        </w:r>
      </w:hyperlink>
    </w:p>
    <w:p w:rsidR="00A1205A" w:rsidRDefault="006F67B9">
      <w:pPr>
        <w:pStyle w:val="TOC3"/>
        <w:rPr>
          <w:rFonts w:ascii="Calibri" w:hAnsi="Calibri"/>
          <w:noProof/>
          <w:sz w:val="22"/>
        </w:rPr>
      </w:pPr>
      <w:hyperlink w:anchor="_Toc256000114" w:history="1">
        <w:r w:rsidR="009E0DC1">
          <w:rPr>
            <w:rStyle w:val="Hyperlink"/>
          </w:rPr>
          <w:t>7.l2) Прилагани методи</w:t>
        </w:r>
        <w:r w:rsidR="009E0DC1">
          <w:tab/>
        </w:r>
        <w:r w:rsidR="009E0DC1">
          <w:fldChar w:fldCharType="begin"/>
        </w:r>
        <w:r w:rsidR="009E0DC1">
          <w:instrText xml:space="preserve"> PAGEREF _Toc256000114 \h </w:instrText>
        </w:r>
        <w:r w:rsidR="009E0DC1">
          <w:fldChar w:fldCharType="separate"/>
        </w:r>
        <w:r w:rsidR="009E0DC1">
          <w:t>123</w:t>
        </w:r>
        <w:r w:rsidR="009E0DC1">
          <w:fldChar w:fldCharType="end"/>
        </w:r>
      </w:hyperlink>
    </w:p>
    <w:p w:rsidR="00A1205A" w:rsidRDefault="006F67B9">
      <w:pPr>
        <w:pStyle w:val="TOC3"/>
        <w:rPr>
          <w:rFonts w:ascii="Calibri" w:hAnsi="Calibri"/>
          <w:noProof/>
          <w:sz w:val="22"/>
        </w:rPr>
      </w:pPr>
      <w:hyperlink w:anchor="_Toc256000115" w:history="1">
        <w:r w:rsidR="009E0DC1">
          <w:rPr>
            <w:rStyle w:val="Hyperlink"/>
          </w:rPr>
          <w:t>7.l3) Количествени констатации въз основа на изчислението на вторичния принос на операциите към акцентираните области</w:t>
        </w:r>
        <w:r w:rsidR="009E0DC1">
          <w:tab/>
        </w:r>
        <w:r w:rsidR="009E0DC1">
          <w:fldChar w:fldCharType="begin"/>
        </w:r>
        <w:r w:rsidR="009E0DC1">
          <w:instrText xml:space="preserve"> PAGEREF _Toc256000115 \h </w:instrText>
        </w:r>
        <w:r w:rsidR="009E0DC1">
          <w:fldChar w:fldCharType="separate"/>
        </w:r>
        <w:r w:rsidR="009E0DC1">
          <w:t>123</w:t>
        </w:r>
        <w:r w:rsidR="009E0DC1">
          <w:fldChar w:fldCharType="end"/>
        </w:r>
      </w:hyperlink>
    </w:p>
    <w:p w:rsidR="00A1205A" w:rsidRDefault="006F67B9">
      <w:pPr>
        <w:pStyle w:val="TOC3"/>
        <w:rPr>
          <w:rFonts w:ascii="Calibri" w:hAnsi="Calibri"/>
          <w:noProof/>
          <w:sz w:val="22"/>
        </w:rPr>
      </w:pPr>
      <w:hyperlink w:anchor="_Toc256000116" w:history="1">
        <w:r w:rsidR="009E0DC1">
          <w:rPr>
            <w:rStyle w:val="Hyperlink"/>
          </w:rPr>
          <w:t>7.l4) Идентифицирани проблеми, които влияят върху действителността и надеждността на констатациите от оценката</w:t>
        </w:r>
        <w:r w:rsidR="009E0DC1">
          <w:tab/>
        </w:r>
        <w:r w:rsidR="009E0DC1">
          <w:fldChar w:fldCharType="begin"/>
        </w:r>
        <w:r w:rsidR="009E0DC1">
          <w:instrText xml:space="preserve"> PAGEREF _Toc256000116 \h </w:instrText>
        </w:r>
        <w:r w:rsidR="009E0DC1">
          <w:fldChar w:fldCharType="separate"/>
        </w:r>
        <w:r w:rsidR="009E0DC1">
          <w:t>123</w:t>
        </w:r>
        <w:r w:rsidR="009E0DC1">
          <w:fldChar w:fldCharType="end"/>
        </w:r>
      </w:hyperlink>
    </w:p>
    <w:p w:rsidR="00A1205A" w:rsidRDefault="006F67B9">
      <w:pPr>
        <w:pStyle w:val="TOC3"/>
        <w:rPr>
          <w:rFonts w:ascii="Calibri" w:hAnsi="Calibri"/>
          <w:noProof/>
          <w:sz w:val="22"/>
        </w:rPr>
      </w:pPr>
      <w:hyperlink w:anchor="_Toc256000117" w:history="1">
        <w:r w:rsidR="009E0DC1">
          <w:rPr>
            <w:rStyle w:val="Hyperlink"/>
          </w:rPr>
          <w:t>7.l5) Отговор на въпрос за оценка</w:t>
        </w:r>
        <w:r w:rsidR="009E0DC1">
          <w:tab/>
        </w:r>
        <w:r w:rsidR="009E0DC1">
          <w:fldChar w:fldCharType="begin"/>
        </w:r>
        <w:r w:rsidR="009E0DC1">
          <w:instrText xml:space="preserve"> PAGEREF _Toc256000117 \h </w:instrText>
        </w:r>
        <w:r w:rsidR="009E0DC1">
          <w:fldChar w:fldCharType="separate"/>
        </w:r>
        <w:r w:rsidR="009E0DC1">
          <w:t>123</w:t>
        </w:r>
        <w:r w:rsidR="009E0DC1">
          <w:fldChar w:fldCharType="end"/>
        </w:r>
      </w:hyperlink>
    </w:p>
    <w:p w:rsidR="00A1205A" w:rsidRDefault="006F67B9">
      <w:pPr>
        <w:pStyle w:val="TOC3"/>
        <w:rPr>
          <w:rFonts w:ascii="Calibri" w:hAnsi="Calibri"/>
          <w:noProof/>
          <w:sz w:val="22"/>
        </w:rPr>
      </w:pPr>
      <w:hyperlink w:anchor="_Toc256000118" w:history="1">
        <w:r w:rsidR="009E0DC1">
          <w:rPr>
            <w:rStyle w:val="Hyperlink"/>
          </w:rPr>
          <w:t>7.l6) Заключения и препоръки</w:t>
        </w:r>
        <w:r w:rsidR="009E0DC1">
          <w:tab/>
        </w:r>
        <w:r w:rsidR="009E0DC1">
          <w:fldChar w:fldCharType="begin"/>
        </w:r>
        <w:r w:rsidR="009E0DC1">
          <w:instrText xml:space="preserve"> PAGEREF _Toc256000118 \h </w:instrText>
        </w:r>
        <w:r w:rsidR="009E0DC1">
          <w:fldChar w:fldCharType="separate"/>
        </w:r>
        <w:r w:rsidR="009E0DC1">
          <w:t>127</w:t>
        </w:r>
        <w:r w:rsidR="009E0DC1">
          <w:fldChar w:fldCharType="end"/>
        </w:r>
      </w:hyperlink>
    </w:p>
    <w:p w:rsidR="00A1205A" w:rsidRDefault="006F67B9">
      <w:pPr>
        <w:pStyle w:val="TOC2"/>
        <w:rPr>
          <w:rFonts w:ascii="Calibri" w:hAnsi="Calibri"/>
          <w:noProof/>
          <w:sz w:val="22"/>
        </w:rPr>
      </w:pPr>
      <w:hyperlink w:anchor="_Toc256000119" w:history="1">
        <w:r w:rsidR="009E0DC1">
          <w:rPr>
            <w:rStyle w:val="Hyperlink"/>
          </w:rPr>
          <w:t>7.m) CEQ21-RN - До каква степен националната мрежа за селските райони допринесла за постигането на целите, определени в член 54, параграф 2 от Регламент (ЕС) № 1305/2013?</w:t>
        </w:r>
        <w:r w:rsidR="009E0DC1">
          <w:tab/>
        </w:r>
        <w:r w:rsidR="009E0DC1">
          <w:fldChar w:fldCharType="begin"/>
        </w:r>
        <w:r w:rsidR="009E0DC1">
          <w:instrText xml:space="preserve"> PAGEREF _Toc256000119 \h </w:instrText>
        </w:r>
        <w:r w:rsidR="009E0DC1">
          <w:fldChar w:fldCharType="separate"/>
        </w:r>
        <w:r w:rsidR="009E0DC1">
          <w:t>127</w:t>
        </w:r>
        <w:r w:rsidR="009E0DC1">
          <w:fldChar w:fldCharType="end"/>
        </w:r>
      </w:hyperlink>
    </w:p>
    <w:p w:rsidR="00A1205A" w:rsidRDefault="006F67B9">
      <w:pPr>
        <w:pStyle w:val="TOC2"/>
        <w:rPr>
          <w:rFonts w:ascii="Calibri" w:hAnsi="Calibri"/>
          <w:noProof/>
          <w:sz w:val="22"/>
        </w:rPr>
      </w:pPr>
      <w:hyperlink w:anchor="_Toc256000120" w:history="1">
        <w:r w:rsidR="009E0DC1">
          <w:rPr>
            <w:rStyle w:val="Hyperlink"/>
          </w:rPr>
          <w:t>7.n) PSEQ01-FA - Специфичен за програмата въпрос за оценка, свързан със специфична за програмата акцентирана област</w:t>
        </w:r>
        <w:r w:rsidR="009E0DC1">
          <w:tab/>
        </w:r>
        <w:r w:rsidR="009E0DC1">
          <w:fldChar w:fldCharType="begin"/>
        </w:r>
        <w:r w:rsidR="009E0DC1">
          <w:instrText xml:space="preserve"> PAGEREF _Toc256000120 \h </w:instrText>
        </w:r>
        <w:r w:rsidR="009E0DC1">
          <w:fldChar w:fldCharType="separate"/>
        </w:r>
        <w:r w:rsidR="009E0DC1">
          <w:t>127</w:t>
        </w:r>
        <w:r w:rsidR="009E0DC1">
          <w:fldChar w:fldCharType="end"/>
        </w:r>
      </w:hyperlink>
    </w:p>
    <w:p w:rsidR="00A1205A" w:rsidRDefault="006F67B9">
      <w:pPr>
        <w:pStyle w:val="TOC2"/>
        <w:rPr>
          <w:rFonts w:ascii="Calibri" w:hAnsi="Calibri"/>
          <w:noProof/>
          <w:sz w:val="22"/>
        </w:rPr>
      </w:pPr>
      <w:hyperlink w:anchor="_Toc256000121" w:history="1">
        <w:r w:rsidR="009E0DC1">
          <w:rPr>
            <w:rStyle w:val="Hyperlink"/>
          </w:rPr>
          <w:t>7.o) PSEQ01-TOPIC - Специфичен за програмата въпрос за оценка, свързан със специфична за програмата тема на оценка</w:t>
        </w:r>
        <w:r w:rsidR="009E0DC1">
          <w:tab/>
        </w:r>
        <w:r w:rsidR="009E0DC1">
          <w:fldChar w:fldCharType="begin"/>
        </w:r>
        <w:r w:rsidR="009E0DC1">
          <w:instrText xml:space="preserve"> PAGEREF _Toc256000121 \h </w:instrText>
        </w:r>
        <w:r w:rsidR="009E0DC1">
          <w:fldChar w:fldCharType="separate"/>
        </w:r>
        <w:r w:rsidR="009E0DC1">
          <w:t>127</w:t>
        </w:r>
        <w:r w:rsidR="009E0DC1">
          <w:fldChar w:fldCharType="end"/>
        </w:r>
      </w:hyperlink>
    </w:p>
    <w:p w:rsidR="00A1205A" w:rsidRDefault="006F67B9">
      <w:pPr>
        <w:pStyle w:val="TOC2"/>
        <w:rPr>
          <w:rFonts w:ascii="Calibri" w:hAnsi="Calibri"/>
          <w:noProof/>
          <w:sz w:val="22"/>
        </w:rPr>
      </w:pPr>
      <w:hyperlink w:anchor="_Toc256000122" w:history="1">
        <w:r w:rsidR="009E0DC1">
          <w:rPr>
            <w:rStyle w:val="Hyperlink"/>
          </w:rPr>
          <w:t>7.p) PSEQ02-TOPIC - Специфичен за програмата въпрос за оценка, свързан със специфична за програмата тема на оценка</w:t>
        </w:r>
        <w:r w:rsidR="009E0DC1">
          <w:tab/>
        </w:r>
        <w:r w:rsidR="009E0DC1">
          <w:fldChar w:fldCharType="begin"/>
        </w:r>
        <w:r w:rsidR="009E0DC1">
          <w:instrText xml:space="preserve"> PAGEREF _Toc256000122 \h </w:instrText>
        </w:r>
        <w:r w:rsidR="009E0DC1">
          <w:fldChar w:fldCharType="separate"/>
        </w:r>
        <w:r w:rsidR="009E0DC1">
          <w:t>128</w:t>
        </w:r>
        <w:r w:rsidR="009E0DC1">
          <w:fldChar w:fldCharType="end"/>
        </w:r>
      </w:hyperlink>
    </w:p>
    <w:p w:rsidR="00A1205A" w:rsidRDefault="006F67B9">
      <w:pPr>
        <w:pStyle w:val="TOC2"/>
        <w:rPr>
          <w:rFonts w:ascii="Calibri" w:hAnsi="Calibri"/>
          <w:noProof/>
          <w:sz w:val="22"/>
        </w:rPr>
      </w:pPr>
      <w:hyperlink w:anchor="_Toc256000123" w:history="1">
        <w:r w:rsidR="009E0DC1">
          <w:rPr>
            <w:rStyle w:val="Hyperlink"/>
          </w:rPr>
          <w:t>7.q) PSEQ03-TOPIC - Специфичен за програмата въпрос за оценка, свързан със специфична за програмата тема на оценка</w:t>
        </w:r>
        <w:r w:rsidR="009E0DC1">
          <w:tab/>
        </w:r>
        <w:r w:rsidR="009E0DC1">
          <w:fldChar w:fldCharType="begin"/>
        </w:r>
        <w:r w:rsidR="009E0DC1">
          <w:instrText xml:space="preserve"> PAGEREF _Toc256000123 \h </w:instrText>
        </w:r>
        <w:r w:rsidR="009E0DC1">
          <w:fldChar w:fldCharType="separate"/>
        </w:r>
        <w:r w:rsidR="009E0DC1">
          <w:t>128</w:t>
        </w:r>
        <w:r w:rsidR="009E0DC1">
          <w:fldChar w:fldCharType="end"/>
        </w:r>
      </w:hyperlink>
    </w:p>
    <w:p w:rsidR="00A1205A" w:rsidRDefault="006F67B9">
      <w:pPr>
        <w:pStyle w:val="TOC2"/>
        <w:rPr>
          <w:rFonts w:ascii="Calibri" w:hAnsi="Calibri"/>
          <w:noProof/>
          <w:sz w:val="22"/>
        </w:rPr>
      </w:pPr>
      <w:hyperlink w:anchor="_Toc256000124" w:history="1">
        <w:r w:rsidR="009E0DC1">
          <w:rPr>
            <w:rStyle w:val="Hyperlink"/>
          </w:rPr>
          <w:t>7.r) PSEQ04-TOPIC - Специфичен за програмата въпрос за оценка, свързан със специфична за програмата тема на оценка</w:t>
        </w:r>
        <w:r w:rsidR="009E0DC1">
          <w:tab/>
        </w:r>
        <w:r w:rsidR="009E0DC1">
          <w:fldChar w:fldCharType="begin"/>
        </w:r>
        <w:r w:rsidR="009E0DC1">
          <w:instrText xml:space="preserve"> PAGEREF _Toc256000124 \h </w:instrText>
        </w:r>
        <w:r w:rsidR="009E0DC1">
          <w:fldChar w:fldCharType="separate"/>
        </w:r>
        <w:r w:rsidR="009E0DC1">
          <w:t>128</w:t>
        </w:r>
        <w:r w:rsidR="009E0DC1">
          <w:fldChar w:fldCharType="end"/>
        </w:r>
      </w:hyperlink>
    </w:p>
    <w:p w:rsidR="00A1205A" w:rsidRDefault="006F67B9">
      <w:pPr>
        <w:pStyle w:val="TOC2"/>
        <w:rPr>
          <w:rFonts w:ascii="Calibri" w:hAnsi="Calibri"/>
          <w:noProof/>
          <w:sz w:val="22"/>
        </w:rPr>
      </w:pPr>
      <w:hyperlink w:anchor="_Toc256000125" w:history="1">
        <w:r w:rsidR="009E0DC1">
          <w:rPr>
            <w:rStyle w:val="Hyperlink"/>
          </w:rPr>
          <w:t>7.s) PSEQ05-TOPIC - Специфичен за програмата въпрос за оценка, свързан със специфична за програмата тема на оценка</w:t>
        </w:r>
        <w:r w:rsidR="009E0DC1">
          <w:tab/>
        </w:r>
        <w:r w:rsidR="009E0DC1">
          <w:fldChar w:fldCharType="begin"/>
        </w:r>
        <w:r w:rsidR="009E0DC1">
          <w:instrText xml:space="preserve"> PAGEREF _Toc256000125 \h </w:instrText>
        </w:r>
        <w:r w:rsidR="009E0DC1">
          <w:fldChar w:fldCharType="separate"/>
        </w:r>
        <w:r w:rsidR="009E0DC1">
          <w:t>128</w:t>
        </w:r>
        <w:r w:rsidR="009E0DC1">
          <w:fldChar w:fldCharType="end"/>
        </w:r>
      </w:hyperlink>
    </w:p>
    <w:p w:rsidR="00A1205A" w:rsidRDefault="006F67B9">
      <w:pPr>
        <w:pStyle w:val="TOC2"/>
        <w:rPr>
          <w:rFonts w:ascii="Calibri" w:hAnsi="Calibri"/>
          <w:noProof/>
          <w:sz w:val="22"/>
        </w:rPr>
      </w:pPr>
      <w:hyperlink w:anchor="_Toc256000126" w:history="1">
        <w:r w:rsidR="009E0DC1">
          <w:rPr>
            <w:rStyle w:val="Hyperlink"/>
          </w:rPr>
          <w:t>7.t) CEQ01-1A - До каква степен интервенциите по ПРСР са подпомогнали иновациите, сътрудничеството и развитието на базата знания в селските райони?</w:t>
        </w:r>
        <w:r w:rsidR="009E0DC1">
          <w:tab/>
        </w:r>
        <w:r w:rsidR="009E0DC1">
          <w:fldChar w:fldCharType="begin"/>
        </w:r>
        <w:r w:rsidR="009E0DC1">
          <w:instrText xml:space="preserve"> PAGEREF _Toc256000126 \h </w:instrText>
        </w:r>
        <w:r w:rsidR="009E0DC1">
          <w:fldChar w:fldCharType="separate"/>
        </w:r>
        <w:r w:rsidR="009E0DC1">
          <w:t>128</w:t>
        </w:r>
        <w:r w:rsidR="009E0DC1">
          <w:fldChar w:fldCharType="end"/>
        </w:r>
      </w:hyperlink>
    </w:p>
    <w:p w:rsidR="00A1205A" w:rsidRDefault="006F67B9">
      <w:pPr>
        <w:pStyle w:val="TOC2"/>
        <w:rPr>
          <w:rFonts w:ascii="Calibri" w:hAnsi="Calibri"/>
          <w:noProof/>
          <w:sz w:val="22"/>
        </w:rPr>
      </w:pPr>
      <w:hyperlink w:anchor="_Toc256000127" w:history="1">
        <w:r w:rsidR="009E0DC1">
          <w:rPr>
            <w:rStyle w:val="Hyperlink"/>
          </w:rPr>
          <w:t>7.u) CEQ02-1B - До каква степен интервенциите по ПРСР са засилили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w:t>
        </w:r>
        <w:r w:rsidR="009E0DC1">
          <w:tab/>
        </w:r>
        <w:r w:rsidR="009E0DC1">
          <w:fldChar w:fldCharType="begin"/>
        </w:r>
        <w:r w:rsidR="009E0DC1">
          <w:instrText xml:space="preserve"> PAGEREF _Toc256000127 \h </w:instrText>
        </w:r>
        <w:r w:rsidR="009E0DC1">
          <w:fldChar w:fldCharType="separate"/>
        </w:r>
        <w:r w:rsidR="009E0DC1">
          <w:t>129</w:t>
        </w:r>
        <w:r w:rsidR="009E0DC1">
          <w:fldChar w:fldCharType="end"/>
        </w:r>
      </w:hyperlink>
    </w:p>
    <w:p w:rsidR="00A1205A" w:rsidRDefault="006F67B9">
      <w:pPr>
        <w:pStyle w:val="TOC2"/>
        <w:rPr>
          <w:rFonts w:ascii="Calibri" w:hAnsi="Calibri"/>
          <w:noProof/>
          <w:sz w:val="22"/>
        </w:rPr>
      </w:pPr>
      <w:hyperlink w:anchor="_Toc256000128" w:history="1">
        <w:r w:rsidR="009E0DC1">
          <w:rPr>
            <w:rStyle w:val="Hyperlink"/>
          </w:rPr>
          <w:t>7.v) CEQ03-1C - До каква степен интервенциите по ПРСР са подпомогнали ученето през целия живот и професионалното обучение в секторите на селското и горското стопанство?</w:t>
        </w:r>
        <w:r w:rsidR="009E0DC1">
          <w:tab/>
        </w:r>
        <w:r w:rsidR="009E0DC1">
          <w:fldChar w:fldCharType="begin"/>
        </w:r>
        <w:r w:rsidR="009E0DC1">
          <w:instrText xml:space="preserve"> PAGEREF _Toc256000128 \h </w:instrText>
        </w:r>
        <w:r w:rsidR="009E0DC1">
          <w:fldChar w:fldCharType="separate"/>
        </w:r>
        <w:r w:rsidR="009E0DC1">
          <w:t>129</w:t>
        </w:r>
        <w:r w:rsidR="009E0DC1">
          <w:fldChar w:fldCharType="end"/>
        </w:r>
      </w:hyperlink>
    </w:p>
    <w:p w:rsidR="00A1205A" w:rsidRDefault="006F67B9">
      <w:pPr>
        <w:pStyle w:val="TOC2"/>
        <w:rPr>
          <w:rFonts w:ascii="Calibri" w:hAnsi="Calibri"/>
          <w:noProof/>
          <w:sz w:val="22"/>
        </w:rPr>
      </w:pPr>
      <w:hyperlink w:anchor="_Toc256000129" w:history="1">
        <w:r w:rsidR="009E0DC1">
          <w:rPr>
            <w:rStyle w:val="Hyperlink"/>
          </w:rPr>
          <w:t>7.w) CEQ07-3B - До каква степен интервенциите по ПРСР са подпомогнали превенцията и управлението на риска на стопанствата?</w:t>
        </w:r>
        <w:r w:rsidR="009E0DC1">
          <w:tab/>
        </w:r>
        <w:r w:rsidR="009E0DC1">
          <w:fldChar w:fldCharType="begin"/>
        </w:r>
        <w:r w:rsidR="009E0DC1">
          <w:instrText xml:space="preserve"> PAGEREF _Toc256000129 \h </w:instrText>
        </w:r>
        <w:r w:rsidR="009E0DC1">
          <w:fldChar w:fldCharType="separate"/>
        </w:r>
        <w:r w:rsidR="009E0DC1">
          <w:t>129</w:t>
        </w:r>
        <w:r w:rsidR="009E0DC1">
          <w:fldChar w:fldCharType="end"/>
        </w:r>
      </w:hyperlink>
    </w:p>
    <w:p w:rsidR="00A1205A" w:rsidRDefault="006F67B9">
      <w:pPr>
        <w:pStyle w:val="TOC2"/>
        <w:rPr>
          <w:rFonts w:ascii="Calibri" w:hAnsi="Calibri"/>
          <w:noProof/>
          <w:sz w:val="22"/>
        </w:rPr>
      </w:pPr>
      <w:hyperlink w:anchor="_Toc256000130" w:history="1">
        <w:r w:rsidR="009E0DC1">
          <w:rPr>
            <w:rStyle w:val="Hyperlink"/>
          </w:rPr>
          <w:t>7.x) CEQ15-5E - До каква степен интервенциите по ПРСР са подпомогнали съхраняването и поглъщането на въглерода в секторите на селското и горското стопанство?</w:t>
        </w:r>
        <w:r w:rsidR="009E0DC1">
          <w:tab/>
        </w:r>
        <w:r w:rsidR="009E0DC1">
          <w:fldChar w:fldCharType="begin"/>
        </w:r>
        <w:r w:rsidR="009E0DC1">
          <w:instrText xml:space="preserve"> PAGEREF _Toc256000130 \h </w:instrText>
        </w:r>
        <w:r w:rsidR="009E0DC1">
          <w:fldChar w:fldCharType="separate"/>
        </w:r>
        <w:r w:rsidR="009E0DC1">
          <w:t>129</w:t>
        </w:r>
        <w:r w:rsidR="009E0DC1">
          <w:fldChar w:fldCharType="end"/>
        </w:r>
      </w:hyperlink>
    </w:p>
    <w:p w:rsidR="00A1205A" w:rsidRDefault="006F67B9">
      <w:pPr>
        <w:pStyle w:val="TOC2"/>
        <w:rPr>
          <w:rFonts w:ascii="Calibri" w:hAnsi="Calibri"/>
          <w:noProof/>
          <w:sz w:val="22"/>
        </w:rPr>
      </w:pPr>
      <w:hyperlink w:anchor="_Toc256000131" w:history="1">
        <w:r w:rsidR="009E0DC1">
          <w:rPr>
            <w:rStyle w:val="Hyperlink"/>
          </w:rPr>
          <w:t>7.y) CEQ16-6A - До каква степен интервенциите по ПРСР са подпомогнали диверсификацията, създаването и развитието на малки предприятия и създаване на работни места?</w:t>
        </w:r>
        <w:r w:rsidR="009E0DC1">
          <w:tab/>
        </w:r>
        <w:r w:rsidR="009E0DC1">
          <w:fldChar w:fldCharType="begin"/>
        </w:r>
        <w:r w:rsidR="009E0DC1">
          <w:instrText xml:space="preserve"> PAGEREF _Toc256000131 \h </w:instrText>
        </w:r>
        <w:r w:rsidR="009E0DC1">
          <w:fldChar w:fldCharType="separate"/>
        </w:r>
        <w:r w:rsidR="009E0DC1">
          <w:t>129</w:t>
        </w:r>
        <w:r w:rsidR="009E0DC1">
          <w:fldChar w:fldCharType="end"/>
        </w:r>
      </w:hyperlink>
    </w:p>
    <w:p w:rsidR="00A1205A" w:rsidRDefault="006F67B9">
      <w:pPr>
        <w:pStyle w:val="TOC2"/>
        <w:rPr>
          <w:rFonts w:ascii="Calibri" w:hAnsi="Calibri"/>
          <w:noProof/>
          <w:sz w:val="22"/>
        </w:rPr>
      </w:pPr>
      <w:hyperlink w:anchor="_Toc256000132" w:history="1">
        <w:r w:rsidR="009E0DC1">
          <w:rPr>
            <w:rStyle w:val="Hyperlink"/>
          </w:rPr>
          <w:t>7.z) CEQ18-6C - До каква степен интервенциите по ПРСР са подобрили достъпа, използването и качеството на информационни и комуникационни технологии (ИКТ) в селските райони?</w:t>
        </w:r>
        <w:r w:rsidR="009E0DC1">
          <w:tab/>
        </w:r>
        <w:r w:rsidR="009E0DC1">
          <w:fldChar w:fldCharType="begin"/>
        </w:r>
        <w:r w:rsidR="009E0DC1">
          <w:instrText xml:space="preserve"> PAGEREF _Toc256000132 \h </w:instrText>
        </w:r>
        <w:r w:rsidR="009E0DC1">
          <w:fldChar w:fldCharType="separate"/>
        </w:r>
        <w:r w:rsidR="009E0DC1">
          <w:t>130</w:t>
        </w:r>
        <w:r w:rsidR="009E0DC1">
          <w:fldChar w:fldCharType="end"/>
        </w:r>
      </w:hyperlink>
    </w:p>
    <w:p w:rsidR="00A1205A" w:rsidRDefault="006F67B9">
      <w:pPr>
        <w:pStyle w:val="TOC2"/>
        <w:rPr>
          <w:rFonts w:ascii="Calibri" w:hAnsi="Calibri"/>
          <w:noProof/>
          <w:sz w:val="22"/>
        </w:rPr>
      </w:pPr>
      <w:hyperlink w:anchor="_Toc256000133" w:history="1">
        <w:r w:rsidR="009E0DC1">
          <w:rPr>
            <w:rStyle w:val="Hyperlink"/>
          </w:rPr>
          <w:t>7.aa) CEQ20-TA - До каква степен техническата помощ е допринесла за постигането на целите, определени в член 59, параграф 1 от Регламент (ЕС) № 1303/2013 и в член 51, параграф 2 от Регламент (ЕС) № 1305/2013?</w:t>
        </w:r>
        <w:r w:rsidR="009E0DC1">
          <w:tab/>
        </w:r>
        <w:r w:rsidR="009E0DC1">
          <w:fldChar w:fldCharType="begin"/>
        </w:r>
        <w:r w:rsidR="009E0DC1">
          <w:instrText xml:space="preserve"> PAGEREF _Toc256000133 \h </w:instrText>
        </w:r>
        <w:r w:rsidR="009E0DC1">
          <w:fldChar w:fldCharType="separate"/>
        </w:r>
        <w:r w:rsidR="009E0DC1">
          <w:t>130</w:t>
        </w:r>
        <w:r w:rsidR="009E0DC1">
          <w:fldChar w:fldCharType="end"/>
        </w:r>
      </w:hyperlink>
    </w:p>
    <w:p w:rsidR="00A1205A" w:rsidRDefault="006F67B9">
      <w:pPr>
        <w:pStyle w:val="TOC2"/>
        <w:rPr>
          <w:rFonts w:ascii="Calibri" w:hAnsi="Calibri"/>
          <w:noProof/>
          <w:sz w:val="22"/>
        </w:rPr>
      </w:pPr>
      <w:hyperlink w:anchor="_Toc256000134" w:history="1">
        <w:r w:rsidR="009E0DC1">
          <w:rPr>
            <w:rStyle w:val="Hyperlink"/>
          </w:rPr>
          <w:t>7.bb) PSEQ02-FA - Специфичен за програмата въпрос за оценка, свързан със специфична за програмата акцентирана област</w:t>
        </w:r>
        <w:r w:rsidR="009E0DC1">
          <w:tab/>
        </w:r>
        <w:r w:rsidR="009E0DC1">
          <w:fldChar w:fldCharType="begin"/>
        </w:r>
        <w:r w:rsidR="009E0DC1">
          <w:instrText xml:space="preserve"> PAGEREF _Toc256000134 \h </w:instrText>
        </w:r>
        <w:r w:rsidR="009E0DC1">
          <w:fldChar w:fldCharType="separate"/>
        </w:r>
        <w:r w:rsidR="009E0DC1">
          <w:t>130</w:t>
        </w:r>
        <w:r w:rsidR="009E0DC1">
          <w:fldChar w:fldCharType="end"/>
        </w:r>
      </w:hyperlink>
    </w:p>
    <w:p w:rsidR="00A1205A" w:rsidRDefault="006F67B9">
      <w:pPr>
        <w:pStyle w:val="TOC2"/>
        <w:rPr>
          <w:rFonts w:ascii="Calibri" w:hAnsi="Calibri"/>
          <w:noProof/>
          <w:sz w:val="22"/>
        </w:rPr>
      </w:pPr>
      <w:hyperlink w:anchor="_Toc256000135" w:history="1">
        <w:r w:rsidR="009E0DC1">
          <w:rPr>
            <w:rStyle w:val="Hyperlink"/>
          </w:rPr>
          <w:t>7.cc) PSEQ03-FA - Специфичен за програмата въпрос за оценка, свързан със специфична за програмата акцентирана област</w:t>
        </w:r>
        <w:r w:rsidR="009E0DC1">
          <w:tab/>
        </w:r>
        <w:r w:rsidR="009E0DC1">
          <w:fldChar w:fldCharType="begin"/>
        </w:r>
        <w:r w:rsidR="009E0DC1">
          <w:instrText xml:space="preserve"> PAGEREF _Toc256000135 \h </w:instrText>
        </w:r>
        <w:r w:rsidR="009E0DC1">
          <w:fldChar w:fldCharType="separate"/>
        </w:r>
        <w:r w:rsidR="009E0DC1">
          <w:t>130</w:t>
        </w:r>
        <w:r w:rsidR="009E0DC1">
          <w:fldChar w:fldCharType="end"/>
        </w:r>
      </w:hyperlink>
    </w:p>
    <w:p w:rsidR="00A1205A" w:rsidRDefault="006F67B9">
      <w:pPr>
        <w:pStyle w:val="TOC2"/>
        <w:rPr>
          <w:rFonts w:ascii="Calibri" w:hAnsi="Calibri"/>
          <w:noProof/>
          <w:sz w:val="22"/>
        </w:rPr>
      </w:pPr>
      <w:hyperlink w:anchor="_Toc256000136" w:history="1">
        <w:r w:rsidR="009E0DC1">
          <w:rPr>
            <w:rStyle w:val="Hyperlink"/>
          </w:rPr>
          <w:t>7.dd) PSEQ04-FA - Специфичен за програмата въпрос за оценка, свързан със специфична за програмата акцентирана област</w:t>
        </w:r>
        <w:r w:rsidR="009E0DC1">
          <w:tab/>
        </w:r>
        <w:r w:rsidR="009E0DC1">
          <w:fldChar w:fldCharType="begin"/>
        </w:r>
        <w:r w:rsidR="009E0DC1">
          <w:instrText xml:space="preserve"> PAGEREF _Toc256000136 \h </w:instrText>
        </w:r>
        <w:r w:rsidR="009E0DC1">
          <w:fldChar w:fldCharType="separate"/>
        </w:r>
        <w:r w:rsidR="009E0DC1">
          <w:t>130</w:t>
        </w:r>
        <w:r w:rsidR="009E0DC1">
          <w:fldChar w:fldCharType="end"/>
        </w:r>
      </w:hyperlink>
    </w:p>
    <w:p w:rsidR="00A1205A" w:rsidRDefault="006F67B9">
      <w:pPr>
        <w:pStyle w:val="TOC2"/>
        <w:rPr>
          <w:rFonts w:ascii="Calibri" w:hAnsi="Calibri"/>
          <w:noProof/>
          <w:sz w:val="22"/>
        </w:rPr>
      </w:pPr>
      <w:hyperlink w:anchor="_Toc256000137" w:history="1">
        <w:r w:rsidR="009E0DC1">
          <w:rPr>
            <w:rStyle w:val="Hyperlink"/>
          </w:rPr>
          <w:t>7.ee) PSEQ05-FA - Специфичен за програмата въпрос за оценка, свързан със специфична за програмата акцентирана област</w:t>
        </w:r>
        <w:r w:rsidR="009E0DC1">
          <w:tab/>
        </w:r>
        <w:r w:rsidR="009E0DC1">
          <w:fldChar w:fldCharType="begin"/>
        </w:r>
        <w:r w:rsidR="009E0DC1">
          <w:instrText xml:space="preserve"> PAGEREF _Toc256000137 \h </w:instrText>
        </w:r>
        <w:r w:rsidR="009E0DC1">
          <w:fldChar w:fldCharType="separate"/>
        </w:r>
        <w:r w:rsidR="009E0DC1">
          <w:t>131</w:t>
        </w:r>
        <w:r w:rsidR="009E0DC1">
          <w:fldChar w:fldCharType="end"/>
        </w:r>
      </w:hyperlink>
    </w:p>
    <w:p w:rsidR="00A1205A" w:rsidRDefault="006F67B9">
      <w:pPr>
        <w:pStyle w:val="TOC1"/>
        <w:rPr>
          <w:rFonts w:ascii="Calibri" w:hAnsi="Calibri"/>
          <w:noProof/>
          <w:sz w:val="22"/>
        </w:rPr>
      </w:pPr>
      <w:hyperlink w:anchor="_Toc256000138" w:history="1">
        <w:r w:rsidR="009E0DC1">
          <w:rPr>
            <w:rStyle w:val="Hyperlink"/>
          </w:rPr>
          <w:t>8. Изпълнение на дейности с цел отчитане на принципите, определени в членове 5, 7 и 8 от Регламент (ЕС) № 1303/2013</w:t>
        </w:r>
        <w:r w:rsidR="009E0DC1">
          <w:tab/>
        </w:r>
        <w:r w:rsidR="009E0DC1">
          <w:fldChar w:fldCharType="begin"/>
        </w:r>
        <w:r w:rsidR="009E0DC1">
          <w:instrText xml:space="preserve"> PAGEREF _Toc256000138 \h </w:instrText>
        </w:r>
        <w:r w:rsidR="009E0DC1">
          <w:fldChar w:fldCharType="separate"/>
        </w:r>
        <w:r w:rsidR="009E0DC1">
          <w:t>132</w:t>
        </w:r>
        <w:r w:rsidR="009E0DC1">
          <w:fldChar w:fldCharType="end"/>
        </w:r>
      </w:hyperlink>
    </w:p>
    <w:p w:rsidR="00A1205A" w:rsidRDefault="006F67B9">
      <w:pPr>
        <w:pStyle w:val="TOC2"/>
        <w:rPr>
          <w:rFonts w:ascii="Calibri" w:hAnsi="Calibri"/>
          <w:noProof/>
          <w:sz w:val="22"/>
        </w:rPr>
      </w:pPr>
      <w:hyperlink w:anchor="_Toc256000139" w:history="1">
        <w:r w:rsidR="009E0DC1">
          <w:rPr>
            <w:rStyle w:val="Hyperlink"/>
          </w:rPr>
          <w:t>8.a) Насърчаване на равенството между мъжете и жените и премахването на дискриминацията (член 7 от Регламент (ЕС) № 1303/2013)</w:t>
        </w:r>
        <w:r w:rsidR="009E0DC1">
          <w:tab/>
        </w:r>
        <w:r w:rsidR="009E0DC1">
          <w:fldChar w:fldCharType="begin"/>
        </w:r>
        <w:r w:rsidR="009E0DC1">
          <w:instrText xml:space="preserve"> PAGEREF _Toc256000139 \h </w:instrText>
        </w:r>
        <w:r w:rsidR="009E0DC1">
          <w:fldChar w:fldCharType="separate"/>
        </w:r>
        <w:r w:rsidR="009E0DC1">
          <w:t>132</w:t>
        </w:r>
        <w:r w:rsidR="009E0DC1">
          <w:fldChar w:fldCharType="end"/>
        </w:r>
      </w:hyperlink>
    </w:p>
    <w:p w:rsidR="00A1205A" w:rsidRDefault="006F67B9">
      <w:pPr>
        <w:pStyle w:val="TOC2"/>
        <w:rPr>
          <w:rFonts w:ascii="Calibri" w:hAnsi="Calibri"/>
          <w:noProof/>
          <w:sz w:val="22"/>
        </w:rPr>
      </w:pPr>
      <w:hyperlink w:anchor="_Toc256000140" w:history="1">
        <w:r w:rsidR="009E0DC1">
          <w:rPr>
            <w:rStyle w:val="Hyperlink"/>
          </w:rPr>
          <w:t>8.b) Устойчиво развитие (член 8 от Регламент (ЕС) № 1303/2013)</w:t>
        </w:r>
        <w:r w:rsidR="009E0DC1">
          <w:tab/>
        </w:r>
        <w:r w:rsidR="009E0DC1">
          <w:fldChar w:fldCharType="begin"/>
        </w:r>
        <w:r w:rsidR="009E0DC1">
          <w:instrText xml:space="preserve"> PAGEREF _Toc256000140 \h </w:instrText>
        </w:r>
        <w:r w:rsidR="009E0DC1">
          <w:fldChar w:fldCharType="separate"/>
        </w:r>
        <w:r w:rsidR="009E0DC1">
          <w:t>132</w:t>
        </w:r>
        <w:r w:rsidR="009E0DC1">
          <w:fldChar w:fldCharType="end"/>
        </w:r>
      </w:hyperlink>
    </w:p>
    <w:p w:rsidR="00A1205A" w:rsidRDefault="006F67B9">
      <w:pPr>
        <w:pStyle w:val="TOC2"/>
        <w:rPr>
          <w:rFonts w:ascii="Calibri" w:hAnsi="Calibri"/>
          <w:noProof/>
          <w:sz w:val="22"/>
        </w:rPr>
      </w:pPr>
      <w:hyperlink w:anchor="_Toc256000141" w:history="1">
        <w:r w:rsidR="009E0DC1">
          <w:rPr>
            <w:rStyle w:val="Hyperlink"/>
          </w:rPr>
          <w:t>8.c) Ролята на партньорите, посочени в член 5 от Регламент (ЕС) № 1303/2013, във връзка с изпълнението на програмата</w:t>
        </w:r>
        <w:r w:rsidR="009E0DC1">
          <w:tab/>
        </w:r>
        <w:r w:rsidR="009E0DC1">
          <w:fldChar w:fldCharType="begin"/>
        </w:r>
        <w:r w:rsidR="009E0DC1">
          <w:instrText xml:space="preserve"> PAGEREF _Toc256000141 \h </w:instrText>
        </w:r>
        <w:r w:rsidR="009E0DC1">
          <w:fldChar w:fldCharType="separate"/>
        </w:r>
        <w:r w:rsidR="009E0DC1">
          <w:t>134</w:t>
        </w:r>
        <w:r w:rsidR="009E0DC1">
          <w:fldChar w:fldCharType="end"/>
        </w:r>
      </w:hyperlink>
    </w:p>
    <w:p w:rsidR="00A1205A" w:rsidRDefault="006F67B9">
      <w:pPr>
        <w:pStyle w:val="TOC1"/>
        <w:rPr>
          <w:rFonts w:ascii="Calibri" w:hAnsi="Calibri"/>
          <w:noProof/>
          <w:sz w:val="22"/>
        </w:rPr>
      </w:pPr>
      <w:hyperlink w:anchor="_Toc256000142" w:history="1">
        <w:r w:rsidR="009E0DC1">
          <w:rPr>
            <w:rStyle w:val="Hyperlink"/>
          </w:rPr>
          <w:t>9. Напредък в осигуряването на интегриран подход при използването на ЕЗФРСР и на други финансови инструменти на ЕС</w:t>
        </w:r>
        <w:r w:rsidR="009E0DC1">
          <w:tab/>
        </w:r>
        <w:r w:rsidR="009E0DC1">
          <w:fldChar w:fldCharType="begin"/>
        </w:r>
        <w:r w:rsidR="009E0DC1">
          <w:instrText xml:space="preserve"> PAGEREF _Toc256000142 \h </w:instrText>
        </w:r>
        <w:r w:rsidR="009E0DC1">
          <w:fldChar w:fldCharType="separate"/>
        </w:r>
        <w:r w:rsidR="009E0DC1">
          <w:t>136</w:t>
        </w:r>
        <w:r w:rsidR="009E0DC1">
          <w:fldChar w:fldCharType="end"/>
        </w:r>
      </w:hyperlink>
    </w:p>
    <w:p w:rsidR="00A1205A" w:rsidRDefault="006F67B9">
      <w:pPr>
        <w:pStyle w:val="TOC1"/>
        <w:rPr>
          <w:rFonts w:ascii="Calibri" w:hAnsi="Calibri"/>
          <w:noProof/>
          <w:sz w:val="22"/>
        </w:rPr>
      </w:pPr>
      <w:hyperlink w:anchor="_Toc256000143" w:history="1">
        <w:r w:rsidR="009E0DC1">
          <w:rPr>
            <w:rStyle w:val="Hyperlink"/>
          </w:rPr>
          <w:t>10. Доклад за изпълнението на финансовите инструменти (член 46 от Регламент (ЕС) № 1303/2013)</w:t>
        </w:r>
        <w:r w:rsidR="009E0DC1">
          <w:tab/>
        </w:r>
        <w:r w:rsidR="009E0DC1">
          <w:fldChar w:fldCharType="begin"/>
        </w:r>
        <w:r w:rsidR="009E0DC1">
          <w:instrText xml:space="preserve"> PAGEREF _Toc256000143 \h </w:instrText>
        </w:r>
        <w:r w:rsidR="009E0DC1">
          <w:fldChar w:fldCharType="separate"/>
        </w:r>
        <w:r w:rsidR="009E0DC1">
          <w:t>137</w:t>
        </w:r>
        <w:r w:rsidR="009E0DC1">
          <w:fldChar w:fldCharType="end"/>
        </w:r>
      </w:hyperlink>
    </w:p>
    <w:p w:rsidR="00A1205A" w:rsidRDefault="006F67B9">
      <w:pPr>
        <w:pStyle w:val="TOC1"/>
        <w:rPr>
          <w:rFonts w:ascii="Calibri" w:hAnsi="Calibri"/>
          <w:noProof/>
          <w:sz w:val="22"/>
        </w:rPr>
      </w:pPr>
      <w:hyperlink w:anchor="_Toc256000144" w:history="1">
        <w:r w:rsidR="009E0DC1">
          <w:rPr>
            <w:rStyle w:val="Hyperlink"/>
          </w:rPr>
          <w:t>11. Кодиращи таблици за общи и специфични за програмата показатели и количествени целеви стойности</w:t>
        </w:r>
        <w:r w:rsidR="009E0DC1">
          <w:tab/>
        </w:r>
        <w:r w:rsidR="009E0DC1">
          <w:fldChar w:fldCharType="begin"/>
        </w:r>
        <w:r w:rsidR="009E0DC1">
          <w:instrText xml:space="preserve"> PAGEREF _Toc256000144 \h </w:instrText>
        </w:r>
        <w:r w:rsidR="009E0DC1">
          <w:fldChar w:fldCharType="separate"/>
        </w:r>
        <w:r w:rsidR="009E0DC1">
          <w:t>138</w:t>
        </w:r>
        <w:r w:rsidR="009E0DC1">
          <w:fldChar w:fldCharType="end"/>
        </w:r>
      </w:hyperlink>
    </w:p>
    <w:p w:rsidR="00A1205A" w:rsidRDefault="006F67B9">
      <w:pPr>
        <w:pStyle w:val="TOC2"/>
        <w:rPr>
          <w:rFonts w:ascii="Calibri" w:hAnsi="Calibri"/>
          <w:noProof/>
          <w:sz w:val="22"/>
        </w:rPr>
      </w:pPr>
      <w:hyperlink w:anchor="_Toc256000145" w:history="1">
        <w:r w:rsidR="009E0DC1">
          <w:rPr>
            <w:rStyle w:val="Hyperlink"/>
          </w:rPr>
          <w:t>Annex II</w:t>
        </w:r>
        <w:r w:rsidR="009E0DC1">
          <w:tab/>
        </w:r>
        <w:r w:rsidR="009E0DC1">
          <w:fldChar w:fldCharType="begin"/>
        </w:r>
        <w:r w:rsidR="009E0DC1">
          <w:instrText xml:space="preserve"> PAGEREF _Toc256000145 \h </w:instrText>
        </w:r>
        <w:r w:rsidR="009E0DC1">
          <w:fldChar w:fldCharType="separate"/>
        </w:r>
        <w:r w:rsidR="009E0DC1">
          <w:t>139</w:t>
        </w:r>
        <w:r w:rsidR="009E0DC1">
          <w:fldChar w:fldCharType="end"/>
        </w:r>
      </w:hyperlink>
    </w:p>
    <w:p w:rsidR="00A1205A" w:rsidRDefault="006F67B9">
      <w:pPr>
        <w:pStyle w:val="TOC2"/>
        <w:rPr>
          <w:rFonts w:ascii="Calibri" w:hAnsi="Calibri"/>
          <w:noProof/>
          <w:sz w:val="22"/>
        </w:rPr>
      </w:pPr>
      <w:hyperlink w:anchor="_Toc256000146" w:history="1">
        <w:r w:rsidR="009E0DC1">
          <w:rPr>
            <w:rStyle w:val="Hyperlink"/>
          </w:rPr>
          <w:t>Annex III</w:t>
        </w:r>
        <w:r w:rsidR="009E0DC1">
          <w:tab/>
        </w:r>
        <w:r w:rsidR="009E0DC1">
          <w:fldChar w:fldCharType="begin"/>
        </w:r>
        <w:r w:rsidR="009E0DC1">
          <w:instrText xml:space="preserve"> PAGEREF _Toc256000146 \h </w:instrText>
        </w:r>
        <w:r w:rsidR="009E0DC1">
          <w:fldChar w:fldCharType="separate"/>
        </w:r>
        <w:r w:rsidR="009E0DC1">
          <w:t>152</w:t>
        </w:r>
        <w:r w:rsidR="009E0DC1">
          <w:fldChar w:fldCharType="end"/>
        </w:r>
      </w:hyperlink>
    </w:p>
    <w:p w:rsidR="00A1205A" w:rsidRDefault="006F67B9">
      <w:pPr>
        <w:pStyle w:val="TOC2"/>
        <w:rPr>
          <w:rFonts w:ascii="Calibri" w:hAnsi="Calibri"/>
          <w:noProof/>
          <w:sz w:val="22"/>
        </w:rPr>
      </w:pPr>
      <w:hyperlink w:anchor="_Toc256000147" w:history="1">
        <w:r w:rsidR="009E0DC1">
          <w:rPr>
            <w:rStyle w:val="Hyperlink"/>
          </w:rPr>
          <w:t>Документи</w:t>
        </w:r>
        <w:r w:rsidR="009E0DC1">
          <w:tab/>
        </w:r>
        <w:r w:rsidR="009E0DC1">
          <w:fldChar w:fldCharType="begin"/>
        </w:r>
        <w:r w:rsidR="009E0DC1">
          <w:instrText xml:space="preserve"> PAGEREF _Toc256000147 \h </w:instrText>
        </w:r>
        <w:r w:rsidR="009E0DC1">
          <w:fldChar w:fldCharType="separate"/>
        </w:r>
        <w:r w:rsidR="009E0DC1">
          <w:t>155</w:t>
        </w:r>
        <w:r w:rsidR="009E0DC1">
          <w:fldChar w:fldCharType="end"/>
        </w:r>
      </w:hyperlink>
    </w:p>
    <w:p w:rsidR="00A1205A" w:rsidRDefault="009E0DC1">
      <w:pPr>
        <w:sectPr w:rsidR="00A1205A">
          <w:pgSz w:w="12240" w:h="15840"/>
          <w:pgMar w:top="900" w:right="900" w:bottom="900" w:left="900" w:header="720" w:footer="720" w:gutter="0"/>
          <w:cols w:space="720"/>
        </w:sectPr>
      </w:pPr>
      <w:r>
        <w:fldChar w:fldCharType="end"/>
      </w:r>
    </w:p>
    <w:p w:rsidR="00A1205A" w:rsidRDefault="009E0DC1">
      <w:pPr>
        <w:pStyle w:val="Heading1"/>
      </w:pPr>
      <w:bookmarkStart w:id="1" w:name="_Toc256000000"/>
      <w:r>
        <w:lastRenderedPageBreak/>
        <w:t>Ключова информация относно изпълнението на програмата и нейните приоритети</w:t>
      </w:r>
      <w:bookmarkEnd w:id="1"/>
    </w:p>
    <w:p w:rsidR="00A1205A" w:rsidRDefault="009E0DC1">
      <w:pPr>
        <w:pStyle w:val="Heading2"/>
      </w:pPr>
      <w:bookmarkStart w:id="2" w:name="_Toc256000001"/>
      <w:r>
        <w:t>Финансови данни</w:t>
      </w:r>
      <w:bookmarkEnd w:id="2"/>
    </w:p>
    <w:p w:rsidR="00A1205A" w:rsidRDefault="009E0DC1">
      <w:r>
        <w:t>Вж. приложените документи</w:t>
      </w:r>
    </w:p>
    <w:p w:rsidR="00A1205A" w:rsidRDefault="009E0DC1">
      <w:pPr>
        <w:pStyle w:val="Heading2"/>
      </w:pPr>
      <w:bookmarkStart w:id="3" w:name="_Toc256000002"/>
      <w:r>
        <w:t>Общи и специфични за програмата показатели и количествени целеви стойности</w:t>
      </w:r>
      <w:bookmarkEnd w:id="3"/>
    </w:p>
    <w:p w:rsidR="00A1205A" w:rsidRDefault="009E0DC1">
      <w:pPr>
        <w:pStyle w:val="Heading3"/>
        <w:jc w:val="left"/>
      </w:pPr>
      <w:bookmarkStart w:id="4" w:name="_Toc256000003"/>
      <w:r>
        <w:t>Таблица с общ преглед</w:t>
      </w:r>
      <w:bookmarkEnd w:id="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A1205A">
        <w:tc>
          <w:tcPr>
            <w:tcW w:w="0" w:type="auto"/>
            <w:gridSpan w:val="7"/>
            <w:shd w:val="clear" w:color="auto" w:fill="808080"/>
          </w:tcPr>
          <w:p w:rsidR="00A1205A" w:rsidRDefault="009E0DC1">
            <w:pPr>
              <w:keepNext/>
              <w:spacing w:before="60" w:after="60"/>
              <w:jc w:val="center"/>
              <w:rPr>
                <w:b/>
                <w:sz w:val="20"/>
              </w:rPr>
            </w:pPr>
            <w:r>
              <w:rPr>
                <w:b/>
                <w:sz w:val="20"/>
              </w:rPr>
              <w:t>Акцентирана област 1A</w:t>
            </w:r>
          </w:p>
        </w:tc>
      </w:tr>
      <w:tr w:rsidR="00A1205A">
        <w:tc>
          <w:tcPr>
            <w:tcW w:w="500" w:type="pct"/>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shd w:val="clear" w:color="auto" w:fill="C0C0C0"/>
            <w:vAlign w:val="center"/>
          </w:tcPr>
          <w:p w:rsidR="00A1205A" w:rsidRDefault="009E0DC1">
            <w:pPr>
              <w:keepNext/>
              <w:spacing w:before="60" w:after="60"/>
              <w:jc w:val="center"/>
              <w:rPr>
                <w:sz w:val="16"/>
              </w:rPr>
            </w:pPr>
            <w:r>
              <w:rPr>
                <w:sz w:val="16"/>
              </w:rPr>
              <w:t>Период</w:t>
            </w:r>
          </w:p>
        </w:tc>
        <w:tc>
          <w:tcPr>
            <w:tcW w:w="500" w:type="pct"/>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shd w:val="clear" w:color="auto" w:fill="C0C0C0"/>
            <w:vAlign w:val="center"/>
          </w:tcPr>
          <w:p w:rsidR="00A1205A" w:rsidRDefault="009E0DC1">
            <w:pPr>
              <w:keepNext/>
              <w:spacing w:before="60" w:after="60"/>
              <w:jc w:val="center"/>
              <w:rPr>
                <w:sz w:val="16"/>
              </w:rPr>
            </w:pPr>
            <w:r>
              <w:rPr>
                <w:sz w:val="16"/>
              </w:rPr>
              <w:t>Усвояване (%)</w:t>
            </w:r>
          </w:p>
        </w:tc>
        <w:tc>
          <w:tcPr>
            <w:tcW w:w="500" w:type="pct"/>
            <w:shd w:val="clear" w:color="auto" w:fill="C0C0C0"/>
            <w:vAlign w:val="center"/>
          </w:tcPr>
          <w:p w:rsidR="00A1205A" w:rsidRDefault="009E0DC1">
            <w:pPr>
              <w:keepNext/>
              <w:spacing w:before="60" w:after="60"/>
              <w:jc w:val="center"/>
              <w:rPr>
                <w:sz w:val="16"/>
              </w:rPr>
            </w:pPr>
            <w:r>
              <w:rPr>
                <w:sz w:val="16"/>
              </w:rPr>
              <w:t>Realised</w:t>
            </w:r>
          </w:p>
        </w:tc>
        <w:tc>
          <w:tcPr>
            <w:tcW w:w="500" w:type="pct"/>
            <w:shd w:val="clear" w:color="auto" w:fill="C0C0C0"/>
            <w:vAlign w:val="center"/>
          </w:tcPr>
          <w:p w:rsidR="00A1205A" w:rsidRDefault="009E0DC1">
            <w:pPr>
              <w:keepNext/>
              <w:spacing w:before="60" w:after="60"/>
              <w:jc w:val="center"/>
              <w:rPr>
                <w:sz w:val="16"/>
              </w:rPr>
            </w:pPr>
            <w:r>
              <w:rPr>
                <w:sz w:val="16"/>
              </w:rPr>
              <w:t>Усвояване (%)</w:t>
            </w:r>
          </w:p>
        </w:tc>
        <w:tc>
          <w:tcPr>
            <w:tcW w:w="500" w:type="pct"/>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vMerge w:val="restart"/>
            <w:shd w:val="clear" w:color="auto" w:fill="FFFFFF"/>
            <w:vAlign w:val="center"/>
          </w:tcPr>
          <w:p w:rsidR="00A1205A" w:rsidRDefault="009E0DC1">
            <w:pPr>
              <w:keepNext/>
              <w:spacing w:before="60" w:after="60"/>
              <w:jc w:val="left"/>
              <w:rPr>
                <w:sz w:val="16"/>
              </w:rPr>
            </w:pPr>
            <w:r>
              <w:rPr>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2,67</w:t>
            </w:r>
          </w:p>
        </w:tc>
      </w:tr>
      <w:tr w:rsidR="00A1205A">
        <w:trPr>
          <w:trHeight w:val="500"/>
        </w:trPr>
        <w:tc>
          <w:tcPr>
            <w:tcW w:w="1250" w:type="pct"/>
            <w:vMerge/>
            <w:tcBorders>
              <w:bottom w:val="single" w:sz="2" w:space="0" w:color="auto"/>
            </w:tcBorders>
            <w:shd w:val="clear" w:color="auto" w:fill="FFFFFF"/>
            <w:vAlign w:val="center"/>
          </w:tcPr>
          <w:p w:rsidR="00A1205A" w:rsidRDefault="00A1205A">
            <w:pPr>
              <w:spacing w:before="60" w:after="60"/>
              <w:jc w:val="left"/>
              <w:rPr>
                <w:sz w:val="16"/>
              </w:rPr>
            </w:pP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spacing w:before="60" w:after="60"/>
              <w:jc w:val="right"/>
              <w:rPr>
                <w:sz w:val="16"/>
              </w:rPr>
            </w:pP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A1205A">
        <w:tc>
          <w:tcPr>
            <w:tcW w:w="750" w:type="pct"/>
            <w:gridSpan w:val="7"/>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1B</w:t>
            </w:r>
          </w:p>
        </w:tc>
      </w:tr>
      <w:tr w:rsidR="00A1205A">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470,00</w:t>
            </w:r>
          </w:p>
        </w:tc>
      </w:tr>
      <w:tr w:rsidR="00A1205A">
        <w:trPr>
          <w:trHeight w:val="500"/>
        </w:trPr>
        <w:tc>
          <w:tcPr>
            <w:tcW w:w="1250" w:type="pct"/>
            <w:vMerge/>
            <w:tcBorders>
              <w:bottom w:val="single" w:sz="2" w:space="0" w:color="auto"/>
            </w:tcBorders>
            <w:shd w:val="clear" w:color="auto" w:fill="FFFFFF"/>
            <w:vAlign w:val="center"/>
          </w:tcPr>
          <w:p w:rsidR="00A1205A" w:rsidRDefault="00A1205A">
            <w:pPr>
              <w:spacing w:before="60" w:after="60"/>
              <w:jc w:val="left"/>
              <w:rPr>
                <w:sz w:val="16"/>
              </w:rPr>
            </w:pP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spacing w:before="60" w:after="60"/>
              <w:jc w:val="right"/>
              <w:rPr>
                <w:sz w:val="16"/>
              </w:rPr>
            </w:pP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4"/>
        <w:gridCol w:w="1066"/>
        <w:gridCol w:w="1598"/>
        <w:gridCol w:w="1066"/>
        <w:gridCol w:w="1598"/>
        <w:gridCol w:w="1066"/>
        <w:gridCol w:w="1598"/>
      </w:tblGrid>
      <w:tr w:rsidR="00A1205A">
        <w:tc>
          <w:tcPr>
            <w:tcW w:w="750" w:type="pct"/>
            <w:gridSpan w:val="7"/>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1C</w:t>
            </w:r>
          </w:p>
        </w:tc>
      </w:tr>
      <w:tr w:rsidR="00A1205A">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4 800,00</w:t>
            </w:r>
          </w:p>
        </w:tc>
      </w:tr>
      <w:tr w:rsidR="00A1205A">
        <w:trPr>
          <w:trHeight w:val="500"/>
        </w:trPr>
        <w:tc>
          <w:tcPr>
            <w:tcW w:w="1250" w:type="pct"/>
            <w:vMerge/>
            <w:tcBorders>
              <w:bottom w:val="single" w:sz="2" w:space="0" w:color="auto"/>
            </w:tcBorders>
            <w:shd w:val="clear" w:color="auto" w:fill="FFFFFF"/>
            <w:vAlign w:val="center"/>
          </w:tcPr>
          <w:p w:rsidR="00A1205A" w:rsidRDefault="00A1205A">
            <w:pPr>
              <w:spacing w:before="60" w:after="60"/>
              <w:jc w:val="left"/>
              <w:rPr>
                <w:sz w:val="16"/>
              </w:rPr>
            </w:pP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spacing w:before="60" w:after="60"/>
              <w:jc w:val="right"/>
              <w:rPr>
                <w:sz w:val="16"/>
              </w:rPr>
            </w:pP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lastRenderedPageBreak/>
              <w:t>Акцентирана област 2A</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0,16</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16,94</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0,04</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4,23</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0,94</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5 000 000,00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14 625 000,00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99 871 066,00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60,63</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12 014 168,27</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7,29</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164 719 395,70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45 000,00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0,07</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60 945 294,10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7 777 777,80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99 916 066,00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39,48</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12 014 168,27</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4,75</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253 067 467,60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2B</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0,42</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50,85</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0,01</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1,21</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0,83</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2 000 000,00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928 796,00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68,71</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1 351 714,00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52 769 350,00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251,28</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3 788 781,20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18,04</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21 000 000,00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34 375 000,00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44,93</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76 513 021,10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88 073 146,00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87,32</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3 788 781,20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3,76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100 864 735,10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2C+</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Фирми, получили подпомагане  (брой)</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E6E6E6"/>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120,00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E6E6E6"/>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M08</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18 000 000,00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18 000 000,00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lastRenderedPageBreak/>
              <w:t>Акцентирана област 3A</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0,12</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984 000,00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112 112 596,00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58,42</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191 901 476,50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5 257 548,00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M09</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7 795 946,60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56 859 510,50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9 555 555,60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112 112 596,00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41,13</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272 554 037,20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69"/>
        <w:gridCol w:w="1503"/>
        <w:gridCol w:w="1504"/>
        <w:gridCol w:w="972"/>
        <w:gridCol w:w="1504"/>
        <w:gridCol w:w="972"/>
        <w:gridCol w:w="971"/>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3B</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E6E6E6"/>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200,00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E6E6E6"/>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150 000,00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350 000,00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lastRenderedPageBreak/>
              <w:t>Приоритет P4</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2,31</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2,56</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1,35</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114,00</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1,18</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1,35</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53,47</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2,52</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14,79</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123,26</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12,00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5 900 000,00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1 325 318,00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158 157 452,70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M08</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17 059 596,50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M10</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98 978 332,00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45,96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23 119 587,53</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10,74</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215 346 669,30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55 088 139,00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36,34</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14 473 378,34</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9,55</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151 593 438,70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53 118 156,00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38,03</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24 595 261,79</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17,61</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139 676 037,30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M13</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96 820 068,00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35,13</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43 365 606,15</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15,73</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275 604 674,70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M15</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8 750 000,00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9 684 835,60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304 004 695,00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30,92</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105 553 833,81</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10,74</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983 098 022,80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lastRenderedPageBreak/>
              <w:t>Акцентирана област 5A</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49,78</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4 000 000,00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210 000,00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99 965 860,00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1 111 111,10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105 286 971,10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5B</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T15: общи инвестиции за енергийна ефективност (в евро) (област с поставен акцент 5Б)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3 442 239,96</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1,59</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442 716,77</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0,20</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216 674 111,30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2 550 000,00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467 100,00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11 045 377,00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9,28</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40 787,44</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0,03</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119 024 466,80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1 111 111,10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11 045 377,00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8,97</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40 787,44</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0,03</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123 152 677,90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5C</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435 866,93</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0,29</w:t>
            </w: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435 866,93</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0,29</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149 544 703,80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550 000,00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215 555,30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391 249,00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0,90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39 960,22</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0,09</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43 334 822,30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M07</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70 000 000,00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1 111 111,10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391 249,00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0,34</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39 960,22</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0,03</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115 211 488,70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lastRenderedPageBreak/>
              <w:t>Акцентирана област 5D</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0,54</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345,26</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0,16</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1,58</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3 694 595,00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285 900,00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768 229,00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1,80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42 749 644,50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M10</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13 869 267,00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173,37</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5 828 606,63</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72,86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8 000 000,00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1 111 111,10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14 637 496,00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26,21</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5 828 606,63</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10,44</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55 841 250,60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5E</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0,02</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1 300 000,00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277 500,00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M08</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28 467 778,60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1 111 111,10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31 156 389,70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6A</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4 270,00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127 945 241,00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127 945 241,00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27"/>
        <w:gridCol w:w="1462"/>
        <w:gridCol w:w="1463"/>
        <w:gridCol w:w="933"/>
        <w:gridCol w:w="1461"/>
        <w:gridCol w:w="933"/>
        <w:gridCol w:w="121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lastRenderedPageBreak/>
              <w:t>Акцентирана област 6B</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600,00</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33,36</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right"/>
              <w:rPr>
                <w:sz w:val="16"/>
              </w:rPr>
            </w:pP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16,42</w:t>
            </w:r>
          </w:p>
        </w:tc>
        <w:tc>
          <w:tcPr>
            <w:tcW w:w="500" w:type="pct"/>
            <w:tcBorders>
              <w:bottom w:val="dashSmallGap" w:sz="2" w:space="0" w:color="auto"/>
            </w:tcBorders>
            <w:shd w:val="clear" w:color="auto" w:fill="FFFFFF"/>
            <w:vAlign w:val="center"/>
          </w:tcPr>
          <w:p w:rsidR="00A1205A" w:rsidRDefault="009E0DC1">
            <w:pPr>
              <w:keepNext/>
              <w:spacing w:before="60" w:after="60"/>
              <w:jc w:val="right"/>
              <w:rPr>
                <w:sz w:val="16"/>
              </w:rPr>
            </w:pPr>
            <w:r>
              <w:rPr>
                <w:sz w:val="16"/>
              </w:rPr>
              <w:t>71,68</w:t>
            </w: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22,91</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M07</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525 725 910,60</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M19</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65 574 803,10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49,87</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232 153,69</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0,18</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131 484 276,70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65 574 803,10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9,98</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232 153,69</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0,04</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657 210 187,30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1"/>
        <w:gridCol w:w="2542"/>
        <w:gridCol w:w="1476"/>
        <w:gridCol w:w="1476"/>
        <w:gridCol w:w="944"/>
        <w:gridCol w:w="1476"/>
        <w:gridCol w:w="945"/>
        <w:gridCol w:w="1136"/>
      </w:tblGrid>
      <w:tr w:rsidR="00A1205A">
        <w:tc>
          <w:tcPr>
            <w:tcW w:w="750" w:type="pct"/>
            <w:gridSpan w:val="8"/>
            <w:tcBorders>
              <w:bottom w:val="single" w:sz="2" w:space="0" w:color="auto"/>
            </w:tcBorders>
            <w:shd w:val="clear" w:color="auto" w:fill="808080"/>
            <w:vAlign w:val="center"/>
          </w:tcPr>
          <w:p w:rsidR="00A1205A" w:rsidRDefault="009E0DC1">
            <w:pPr>
              <w:keepNext/>
              <w:spacing w:before="60" w:after="60"/>
              <w:jc w:val="center"/>
              <w:rPr>
                <w:b/>
                <w:sz w:val="20"/>
              </w:rPr>
            </w:pPr>
            <w:r>
              <w:rPr>
                <w:b/>
                <w:sz w:val="20"/>
              </w:rPr>
              <w:t>Акцентирана област 6C</w:t>
            </w:r>
          </w:p>
        </w:tc>
      </w:tr>
      <w:tr w:rsidR="00A1205A">
        <w:tc>
          <w:tcPr>
            <w:tcW w:w="500" w:type="pct"/>
            <w:gridSpan w:val="2"/>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Цел за 2023 г.</w:t>
            </w:r>
          </w:p>
        </w:tc>
      </w:tr>
      <w:tr w:rsidR="00A1205A">
        <w:trPr>
          <w:trHeight w:val="500"/>
        </w:trPr>
        <w:tc>
          <w:tcPr>
            <w:tcW w:w="1250" w:type="pct"/>
            <w:gridSpan w:val="2"/>
            <w:vMerge w:val="restart"/>
            <w:tcBorders>
              <w:bottom w:val="single" w:sz="2" w:space="0" w:color="auto"/>
            </w:tcBorders>
            <w:shd w:val="clear" w:color="auto" w:fill="FFFFFF"/>
            <w:vAlign w:val="center"/>
          </w:tcPr>
          <w:p w:rsidR="00A1205A" w:rsidRDefault="009E0DC1">
            <w:pPr>
              <w:keepNext/>
              <w:spacing w:before="60" w:after="60"/>
              <w:jc w:val="left"/>
              <w:rPr>
                <w:sz w:val="16"/>
              </w:rPr>
            </w:pPr>
            <w:r>
              <w:rPr>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vAlign w:val="center"/>
          </w:tcPr>
          <w:p w:rsidR="00A1205A" w:rsidRDefault="009E0DC1">
            <w:pPr>
              <w:keepNext/>
              <w:spacing w:before="60" w:after="60"/>
              <w:jc w:val="right"/>
              <w:rPr>
                <w:sz w:val="16"/>
              </w:rPr>
            </w:pPr>
            <w:r>
              <w:rPr>
                <w:sz w:val="16"/>
              </w:rPr>
              <w:t>1,64</w:t>
            </w:r>
          </w:p>
        </w:tc>
      </w:tr>
      <w:tr w:rsidR="00A1205A">
        <w:trPr>
          <w:trHeight w:val="500"/>
        </w:trPr>
        <w:tc>
          <w:tcPr>
            <w:tcW w:w="1250" w:type="pct"/>
            <w:gridSpan w:val="2"/>
            <w:vMerge/>
            <w:tcBorders>
              <w:bottom w:val="single" w:sz="2" w:space="0" w:color="auto"/>
            </w:tcBorders>
            <w:shd w:val="clear" w:color="auto" w:fill="FFFFFF"/>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Мярка</w:t>
            </w:r>
          </w:p>
        </w:tc>
        <w:tc>
          <w:tcPr>
            <w:tcW w:w="12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Показател за изпълнението</w:t>
            </w:r>
          </w:p>
        </w:tc>
        <w:tc>
          <w:tcPr>
            <w:tcW w:w="75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M07</w:t>
            </w:r>
          </w:p>
        </w:tc>
        <w:tc>
          <w:tcPr>
            <w:tcW w:w="1050" w:type="pct"/>
            <w:tcBorders>
              <w:bottom w:val="single" w:sz="2" w:space="0" w:color="auto"/>
            </w:tcBorders>
            <w:shd w:val="clear" w:color="auto" w:fill="FFFFFF"/>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keepNext/>
              <w:spacing w:before="60" w:after="60"/>
              <w:jc w:val="right"/>
              <w:rPr>
                <w:sz w:val="16"/>
              </w:rPr>
            </w:pPr>
            <w:r>
              <w:rPr>
                <w:sz w:val="16"/>
              </w:rPr>
              <w:t>30 000 000,00</w:t>
            </w:r>
          </w:p>
        </w:tc>
      </w:tr>
      <w:tr w:rsidR="00A1205A">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Общо</w:t>
            </w:r>
          </w:p>
        </w:tc>
        <w:tc>
          <w:tcPr>
            <w:tcW w:w="200" w:type="pct"/>
            <w:tcBorders>
              <w:bottom w:val="single" w:sz="2" w:space="0" w:color="auto"/>
            </w:tcBorders>
            <w:shd w:val="clear" w:color="auto" w:fill="FFFFFF"/>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vAlign w:val="center"/>
          </w:tcPr>
          <w:p w:rsidR="00A1205A" w:rsidRDefault="009E0DC1">
            <w:pPr>
              <w:spacing w:before="60" w:after="60"/>
              <w:jc w:val="right"/>
              <w:rPr>
                <w:sz w:val="16"/>
              </w:rPr>
            </w:pPr>
            <w:r>
              <w:rPr>
                <w:sz w:val="16"/>
              </w:rPr>
              <w:t>30 000 000,00</w:t>
            </w:r>
          </w:p>
        </w:tc>
      </w:tr>
    </w:tbl>
    <w:p w:rsidR="00A1205A" w:rsidRDefault="00A1205A">
      <w:pPr>
        <w:spacing w:before="60" w:after="60"/>
        <w:jc w:val="center"/>
        <w:rPr>
          <w:b/>
          <w:sz w:val="20"/>
        </w:rPr>
      </w:pPr>
    </w:p>
    <w:p w:rsidR="00A1205A" w:rsidRDefault="00A1205A"/>
    <w:p w:rsidR="00A1205A" w:rsidRDefault="00A1205A">
      <w:pPr>
        <w:sectPr w:rsidR="00A1205A">
          <w:pgSz w:w="12240" w:h="15840"/>
          <w:pgMar w:top="900" w:right="900" w:bottom="900" w:left="900" w:header="720" w:footer="720" w:gutter="0"/>
          <w:cols w:space="720"/>
        </w:sectPr>
      </w:pPr>
    </w:p>
    <w:p w:rsidR="00A1205A" w:rsidRDefault="009E0DC1">
      <w:pPr>
        <w:pStyle w:val="Heading2"/>
      </w:pPr>
      <w:bookmarkStart w:id="5" w:name="_Toc256000004"/>
      <w:r>
        <w:lastRenderedPageBreak/>
        <w:t>Ключова информация относно изпълнението на ПРСР въз основа на данни от a) и б) по акцентирани области</w:t>
      </w:r>
      <w:bookmarkEnd w:id="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A1205A">
        <w:tc>
          <w:tcPr>
            <w:tcW w:w="750" w:type="pct"/>
            <w:shd w:val="clear" w:color="auto" w:fill="auto"/>
            <w:vAlign w:val="center"/>
          </w:tcPr>
          <w:p w:rsidR="00A1205A" w:rsidRDefault="009E0DC1">
            <w:pPr>
              <w:spacing w:before="0" w:after="240"/>
              <w:jc w:val="left"/>
              <w:rPr>
                <w:szCs w:val="24"/>
              </w:rPr>
            </w:pPr>
            <w:r>
              <w:rPr>
                <w:szCs w:val="24"/>
              </w:rPr>
              <w:t>Програмата за развитие на селските райони на България за програмния период 2014-2020 г. (наричана тук ПРСР 2014-2020) е одобрена с Решение за изпълнение на Комисията C (2015) 3480 от 26.05.2015г. и от 2015г.</w:t>
            </w:r>
          </w:p>
          <w:p w:rsidR="00A1205A" w:rsidRDefault="009E0DC1">
            <w:pPr>
              <w:spacing w:before="240" w:after="240"/>
              <w:jc w:val="left"/>
              <w:rPr>
                <w:szCs w:val="24"/>
              </w:rPr>
            </w:pPr>
            <w:r>
              <w:rPr>
                <w:szCs w:val="24"/>
              </w:rPr>
              <w:t>Общият бюджетът на ПРСР 2014- 2020 в размер на 2 917 848 203 евро /публични средства/ и индикаторите за изпълнение са обособени общо в 17 мерки и една Тематична подпрограма за развитие на малките стопанства.</w:t>
            </w:r>
          </w:p>
          <w:p w:rsidR="00A1205A" w:rsidRDefault="009E0DC1">
            <w:pPr>
              <w:spacing w:before="240" w:after="240"/>
              <w:jc w:val="left"/>
              <w:rPr>
                <w:szCs w:val="24"/>
              </w:rPr>
            </w:pPr>
            <w:r>
              <w:rPr>
                <w:b/>
                <w:bCs/>
                <w:szCs w:val="24"/>
                <w:u w:val="single"/>
              </w:rPr>
              <w:t>Прием на мерки и подмерки от ПРСР 2014-2020 през 2016 г.</w:t>
            </w:r>
          </w:p>
          <w:p w:rsidR="00A1205A" w:rsidRDefault="009E0DC1">
            <w:pPr>
              <w:spacing w:before="240" w:after="240"/>
              <w:jc w:val="left"/>
              <w:rPr>
                <w:szCs w:val="24"/>
              </w:rPr>
            </w:pPr>
            <w:r>
              <w:rPr>
                <w:szCs w:val="24"/>
              </w:rPr>
              <w:t>През 2016 г. са реализирани приеми по следните мерки и подмерки:</w:t>
            </w:r>
          </w:p>
          <w:p w:rsidR="00A1205A" w:rsidRDefault="009E0DC1">
            <w:pPr>
              <w:spacing w:before="240" w:after="240"/>
              <w:jc w:val="left"/>
              <w:rPr>
                <w:szCs w:val="24"/>
              </w:rPr>
            </w:pPr>
            <w:r>
              <w:rPr>
                <w:szCs w:val="24"/>
              </w:rPr>
              <w:t>подмярка 2.1.2. „Консултански услуги за малки земеделски стопанства”;</w:t>
            </w:r>
          </w:p>
          <w:p w:rsidR="00A1205A" w:rsidRDefault="009E0DC1">
            <w:pPr>
              <w:spacing w:before="240" w:after="240"/>
              <w:jc w:val="left"/>
              <w:rPr>
                <w:szCs w:val="24"/>
              </w:rPr>
            </w:pPr>
            <w:r>
              <w:rPr>
                <w:szCs w:val="24"/>
              </w:rPr>
              <w:t>подмярка 4.1 „Инвестиции в земеделски стопанства”;</w:t>
            </w:r>
          </w:p>
          <w:p w:rsidR="00A1205A" w:rsidRDefault="009E0DC1">
            <w:pPr>
              <w:spacing w:before="240" w:after="240"/>
              <w:jc w:val="left"/>
              <w:rPr>
                <w:szCs w:val="24"/>
              </w:rPr>
            </w:pPr>
            <w:r>
              <w:rPr>
                <w:szCs w:val="24"/>
              </w:rPr>
              <w:t>подмярка 6.3 „Стартова помощ за развитие на малки земеделски стопани”;</w:t>
            </w:r>
          </w:p>
          <w:p w:rsidR="00A1205A" w:rsidRDefault="009E0DC1">
            <w:pPr>
              <w:spacing w:before="240" w:after="240"/>
              <w:jc w:val="left"/>
              <w:rPr>
                <w:szCs w:val="24"/>
              </w:rPr>
            </w:pPr>
            <w:r>
              <w:rPr>
                <w:szCs w:val="24"/>
              </w:rPr>
              <w:t>подмярка 7.2 „Инвестиции в създаването, подобряването или разширяването на всчки видове малка по мащаб инфраструктура”;</w:t>
            </w:r>
          </w:p>
          <w:p w:rsidR="00A1205A" w:rsidRDefault="009E0DC1">
            <w:pPr>
              <w:spacing w:before="240" w:after="240"/>
              <w:jc w:val="left"/>
              <w:rPr>
                <w:szCs w:val="24"/>
              </w:rPr>
            </w:pPr>
            <w:r>
              <w:rPr>
                <w:szCs w:val="24"/>
              </w:rPr>
              <w:t>подмярка 7.6 „Проучвания и инвестиции, свързани с поддържане, възстановяване и подобряване на селата в селските райони”;</w:t>
            </w:r>
          </w:p>
          <w:p w:rsidR="00A1205A" w:rsidRDefault="009E0DC1">
            <w:pPr>
              <w:spacing w:before="240" w:after="240"/>
              <w:jc w:val="left"/>
              <w:rPr>
                <w:szCs w:val="24"/>
              </w:rPr>
            </w:pPr>
            <w:r>
              <w:rPr>
                <w:szCs w:val="24"/>
              </w:rPr>
              <w:t>подмярка 19.2. „Прилагане на операции в рамките на стратегии за водено от общностите местно развитие”;</w:t>
            </w:r>
          </w:p>
          <w:p w:rsidR="00A1205A" w:rsidRDefault="009E0DC1">
            <w:pPr>
              <w:spacing w:before="240" w:after="240"/>
              <w:jc w:val="left"/>
              <w:rPr>
                <w:szCs w:val="24"/>
              </w:rPr>
            </w:pPr>
            <w:r>
              <w:rPr>
                <w:szCs w:val="24"/>
              </w:rPr>
              <w:t>подмярка 19.4. „Текущи разходи и популяризиране на стратегия за водено от общностите местно развитие”</w:t>
            </w:r>
          </w:p>
          <w:p w:rsidR="00A1205A" w:rsidRDefault="009E0DC1">
            <w:pPr>
              <w:spacing w:before="240" w:after="240"/>
              <w:jc w:val="left"/>
              <w:rPr>
                <w:szCs w:val="24"/>
              </w:rPr>
            </w:pPr>
            <w:r>
              <w:rPr>
                <w:szCs w:val="24"/>
              </w:rPr>
              <w:t>мярка 10 „Агроекология и климат“</w:t>
            </w:r>
          </w:p>
          <w:p w:rsidR="00A1205A" w:rsidRDefault="009E0DC1">
            <w:pPr>
              <w:spacing w:before="240" w:after="240"/>
              <w:jc w:val="left"/>
              <w:rPr>
                <w:szCs w:val="24"/>
              </w:rPr>
            </w:pPr>
            <w:r>
              <w:rPr>
                <w:szCs w:val="24"/>
              </w:rPr>
              <w:t>мярка 11 „Биологично земеделие“</w:t>
            </w:r>
          </w:p>
          <w:p w:rsidR="00A1205A" w:rsidRDefault="009E0DC1">
            <w:pPr>
              <w:spacing w:before="240" w:after="240"/>
              <w:jc w:val="left"/>
              <w:rPr>
                <w:szCs w:val="24"/>
              </w:rPr>
            </w:pPr>
            <w:r>
              <w:rPr>
                <w:szCs w:val="24"/>
              </w:rPr>
              <w:t>мярка 12 „Плащания по „Натура-2000” и Рамковата директива  за водите“</w:t>
            </w:r>
          </w:p>
          <w:p w:rsidR="00A1205A" w:rsidRDefault="009E0DC1">
            <w:pPr>
              <w:spacing w:before="240" w:after="240"/>
              <w:jc w:val="left"/>
              <w:rPr>
                <w:szCs w:val="24"/>
              </w:rPr>
            </w:pPr>
            <w:r>
              <w:rPr>
                <w:szCs w:val="24"/>
              </w:rPr>
              <w:t>мярка 13 „Плащания за райони, изправени пред природни или други специфични ограничения“</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i/>
                <w:iCs/>
                <w:szCs w:val="24"/>
              </w:rPr>
              <w:t>Мреки и подмерки в процес на прилагане през 2016 г.</w:t>
            </w:r>
          </w:p>
          <w:p w:rsidR="00A1205A" w:rsidRDefault="009E0DC1">
            <w:pPr>
              <w:spacing w:before="240" w:after="240"/>
              <w:jc w:val="left"/>
              <w:rPr>
                <w:szCs w:val="24"/>
              </w:rPr>
            </w:pPr>
            <w:r>
              <w:rPr>
                <w:b/>
                <w:bCs/>
                <w:szCs w:val="24"/>
              </w:rPr>
              <w:t>Подмярка 2.1. „Помощ за осигуряване на консултантски услуги”</w:t>
            </w:r>
          </w:p>
          <w:p w:rsidR="00A1205A" w:rsidRDefault="009E0DC1">
            <w:pPr>
              <w:spacing w:before="240" w:after="240"/>
              <w:jc w:val="left"/>
              <w:rPr>
                <w:szCs w:val="24"/>
              </w:rPr>
            </w:pPr>
            <w:r>
              <w:rPr>
                <w:szCs w:val="24"/>
              </w:rPr>
              <w:t xml:space="preserve">През 2016 г. по подмярката не са предоставяни консултански пакети, но са заявени от страна на НССЗ изготвените през 2015 г. 1 269 пакета А2Б, което представлява 48 % от всички подадени 2 664 заявления за подпомагане по подмярка 6.1 през 2015 г. В рамките на 2016 г. размера на изплатените средства възлиза на 943 448 евро, които средства са разплатени по три заявки за плащане, подадени </w:t>
            </w:r>
            <w:r>
              <w:rPr>
                <w:szCs w:val="24"/>
              </w:rPr>
              <w:lastRenderedPageBreak/>
              <w:t>към Разплащателна агенция.</w:t>
            </w:r>
          </w:p>
          <w:p w:rsidR="00A1205A" w:rsidRDefault="009E0DC1">
            <w:pPr>
              <w:spacing w:before="240" w:after="240"/>
              <w:jc w:val="left"/>
              <w:rPr>
                <w:szCs w:val="24"/>
              </w:rPr>
            </w:pPr>
            <w:r>
              <w:rPr>
                <w:szCs w:val="24"/>
              </w:rPr>
              <w:t>Във връзка с прилагане на подмярката през 2016 г. са поети разходни задължения по област с поставен акцент 2В в размер на 928 796 евро.</w:t>
            </w:r>
          </w:p>
          <w:p w:rsidR="00A1205A" w:rsidRDefault="009E0DC1">
            <w:pPr>
              <w:spacing w:before="240" w:after="240"/>
              <w:jc w:val="left"/>
              <w:rPr>
                <w:szCs w:val="24"/>
              </w:rPr>
            </w:pPr>
            <w:r>
              <w:rPr>
                <w:b/>
                <w:bCs/>
                <w:szCs w:val="24"/>
              </w:rPr>
              <w:t>Подмярка 2.1.2. „Консултански услуги за малки земеделски стопанства”</w:t>
            </w:r>
          </w:p>
          <w:p w:rsidR="00A1205A" w:rsidRDefault="009E0DC1">
            <w:pPr>
              <w:spacing w:before="240" w:after="240"/>
              <w:jc w:val="left"/>
              <w:rPr>
                <w:szCs w:val="24"/>
              </w:rPr>
            </w:pPr>
            <w:r>
              <w:rPr>
                <w:szCs w:val="24"/>
              </w:rPr>
              <w:t>Прилагането на подмярката стартира през 2016 г., като от страна на Управляващият орган е приложен идентичен подход, както и през 2015 г. при предоставянето на консултански услуги за млади земеделски стопани.</w:t>
            </w:r>
          </w:p>
          <w:p w:rsidR="00A1205A" w:rsidRDefault="009E0DC1">
            <w:pPr>
              <w:spacing w:before="240" w:after="240"/>
              <w:jc w:val="left"/>
              <w:rPr>
                <w:szCs w:val="24"/>
              </w:rPr>
            </w:pPr>
            <w:r>
              <w:rPr>
                <w:szCs w:val="24"/>
              </w:rPr>
              <w:t>В съответствие с издадената заповед от 21.06.2016 г. на министъра на земеделието и храните Националната служба за съвети в земеделието (НССЗ) е определена като единствен ползвател на финансовата помощ, който да предоставя на малки земеделски стопани съответните консултански услуги, пряко свързани с прилагането на всички мерки включени в Тематичната подпрограма за малки стопанства /ТПП/. По подмярката НССЗ предоставя на малките земеделски стопанства шест основни консултантски пакета, които допринасят както за икономическо развитие и укрепване на малките земеделски стопанства чрез модернизация и технологичното обновление като устойчиви и жизнеспособни единици, така и за подобряване на опазването на околната среда и борбата с климатичните промени.</w:t>
            </w:r>
          </w:p>
          <w:p w:rsidR="00A1205A" w:rsidRDefault="009E0DC1">
            <w:pPr>
              <w:spacing w:before="240" w:after="240"/>
              <w:jc w:val="left"/>
              <w:rPr>
                <w:szCs w:val="24"/>
              </w:rPr>
            </w:pPr>
            <w:r>
              <w:rPr>
                <w:szCs w:val="24"/>
              </w:rPr>
              <w:t>Определеният бюджет за проведения избор е в размер на 4 млн. евро от бюджета на мярката. Изборът на НССЗ за извършване на консултантските дейности е съобразен с одобрения текст на ПРСР 2014-2020 и разработеното национално законодателство за прилагане на мярката. Изборът е извършен с решение на Комисия за избор, назначена от министъра на земеделието и храните.</w:t>
            </w:r>
          </w:p>
          <w:p w:rsidR="00A1205A" w:rsidRDefault="009E0DC1">
            <w:pPr>
              <w:spacing w:before="240" w:after="240"/>
              <w:jc w:val="left"/>
              <w:rPr>
                <w:szCs w:val="24"/>
              </w:rPr>
            </w:pPr>
            <w:r>
              <w:rPr>
                <w:szCs w:val="24"/>
              </w:rPr>
              <w:t>Стартирането на подмярката от страна на УО е направено в пълен синхрон със старта на прилагането на подмярка 6.3. По този начин е осигурена възможност за малките земеделски стопани да получат безплатни съвети и консултации във връзка с техните стопанства и кандидатстването им по подмярка 6.3.</w:t>
            </w:r>
          </w:p>
          <w:p w:rsidR="00A1205A" w:rsidRDefault="009E0DC1">
            <w:pPr>
              <w:spacing w:before="240" w:after="240"/>
              <w:jc w:val="left"/>
              <w:rPr>
                <w:szCs w:val="24"/>
              </w:rPr>
            </w:pPr>
            <w:r>
              <w:rPr>
                <w:szCs w:val="24"/>
              </w:rPr>
              <w:t>По данни на НССЗ от страна на малките земеделски стопани най – голям интерес е отчетен към пакет 5.1, който включва изготвяне на бизнес план и заявление за подпомагане по подмярка 6.3 „Стартова помощ за развитие на малки земеделски стопанства”. По тази дейност НССЗ е предоставила консултански услуги на 2 860 малки земеделски стопани, като 2 824 от тях са подали изготвените документи и са заявили подпомагане по подмярка 6.3.</w:t>
            </w:r>
          </w:p>
          <w:p w:rsidR="00A1205A" w:rsidRDefault="009E0DC1">
            <w:pPr>
              <w:spacing w:before="240" w:after="240"/>
              <w:jc w:val="left"/>
              <w:rPr>
                <w:szCs w:val="24"/>
              </w:rPr>
            </w:pPr>
            <w:r>
              <w:rPr>
                <w:szCs w:val="24"/>
              </w:rPr>
              <w:t>Наблюдава се, че земеделските стопани проявяват висок интерес и към консултанските пакети, свързани със селскостопански практики от полза за климата и околната среда, политиката за водите, както и информация и съвети относно мерки за смекчаване на последиците от изменението на климата и адаптиране към него, биологичното разнообразие и опазването на водите, както и същността и характеристиките на системата за кръстосано съответствие.</w:t>
            </w:r>
          </w:p>
          <w:p w:rsidR="00A1205A" w:rsidRDefault="009E0DC1">
            <w:pPr>
              <w:spacing w:before="240" w:after="240"/>
              <w:jc w:val="left"/>
              <w:rPr>
                <w:szCs w:val="24"/>
              </w:rPr>
            </w:pPr>
            <w:r>
              <w:rPr>
                <w:szCs w:val="24"/>
              </w:rPr>
              <w:t xml:space="preserve">На база вида на отглежданите в стопанствата култури или животни,  делът на растениевъдните стопанства е 50 % или 1 409 бр., животновъдните стопанства са 34 % или 961 бр., а най-малък е делът на стопанствата със смесено производство 16 % или 454 бр. При животновъдните стопанства най-висок е делът на тези, отглеждащи пчели - 26 % или 792 бр. от общият брой подадени заявления, а при растениевъдните стопанства преобладават тези, в които се отглеждат плодове и зеленчуци - 46 % или 1 375 бр. При смесените стопанства най – често се наблюдава отглеждането на пчелни </w:t>
            </w:r>
            <w:r>
              <w:rPr>
                <w:szCs w:val="24"/>
              </w:rPr>
              <w:lastRenderedPageBreak/>
              <w:t>семейства, в комбинация с плодове и зеленчуци.</w:t>
            </w:r>
          </w:p>
          <w:p w:rsidR="00A1205A" w:rsidRDefault="009E0DC1">
            <w:pPr>
              <w:spacing w:before="240" w:after="240"/>
              <w:jc w:val="left"/>
              <w:rPr>
                <w:szCs w:val="24"/>
              </w:rPr>
            </w:pPr>
            <w:r>
              <w:rPr>
                <w:szCs w:val="24"/>
              </w:rPr>
              <w:t>Високият интерес от страна на малките земеделски стопани към комплесните услуги предоставяни от страна на НССЗ я превръщат в ключов партньор при правилното и положително развитие на тези стопанства и улесняване на достъпа им до различните схеми и мерки предоставяни в рамките на Общата селскостопанска политика. Не на последно място е и безвъзмездния характер на предоставяните услуги, отчитайки факта, че най – малките стопанства разполагат с ограничен финансов ресурс. В рамките на приемът, проведен през 2016 г. по подмярка 6.3 са подадени общо 3 815 заявления, като 74% от тях са подготвени от НССЗ.</w:t>
            </w:r>
          </w:p>
          <w:p w:rsidR="00A1205A" w:rsidRDefault="009E0DC1">
            <w:pPr>
              <w:spacing w:before="240" w:after="240"/>
              <w:jc w:val="left"/>
              <w:rPr>
                <w:szCs w:val="24"/>
              </w:rPr>
            </w:pPr>
            <w:r>
              <w:rPr>
                <w:szCs w:val="24"/>
              </w:rPr>
              <w:t>През 2016 г. няма извършени плащания към НССЗ във връзка с изпълнените консултантски дейности, предоставени на малки земеделски стопани по подмярка 2.1. 2. „Консултански услуги за малки земеделски стопанства”, но е подадена една заявка за плащане на стойност 1,08 млн. евро. Усвояването на средствата за предоставените услуги се очаква през календарната 2017 г.</w:t>
            </w:r>
          </w:p>
          <w:p w:rsidR="00A1205A" w:rsidRDefault="009E0DC1">
            <w:pPr>
              <w:spacing w:before="240" w:after="240"/>
              <w:jc w:val="left"/>
              <w:rPr>
                <w:szCs w:val="24"/>
              </w:rPr>
            </w:pPr>
            <w:r>
              <w:rPr>
                <w:b/>
                <w:bCs/>
                <w:szCs w:val="24"/>
              </w:rPr>
              <w:t>Подмярка 4.1 „Инвестиции в земеделски стопанства”</w:t>
            </w:r>
          </w:p>
          <w:p w:rsidR="00A1205A" w:rsidRDefault="009E0DC1">
            <w:pPr>
              <w:spacing w:before="240" w:after="240"/>
              <w:jc w:val="left"/>
              <w:rPr>
                <w:szCs w:val="24"/>
              </w:rPr>
            </w:pPr>
            <w:r>
              <w:rPr>
                <w:szCs w:val="24"/>
              </w:rPr>
              <w:t>След старта  на подмярка 4.1 през 2015 г., през календарната 2016 г. продължи нейното прилагане посредством определянето на втори период на прием на заявления в края на годината. През 2016 г. са сключени договори по заявленията за подпомагане, подадени от земеделските стопани в рамките на приема, проведен през 2015 г.</w:t>
            </w:r>
          </w:p>
          <w:p w:rsidR="00A1205A" w:rsidRDefault="009E0DC1">
            <w:pPr>
              <w:spacing w:before="240" w:after="240"/>
              <w:jc w:val="left"/>
              <w:rPr>
                <w:szCs w:val="24"/>
              </w:rPr>
            </w:pPr>
            <w:r>
              <w:rPr>
                <w:szCs w:val="24"/>
              </w:rPr>
              <w:t>Приемът през 2016 г. по подмярка 4.1 беше определен след промяна в някои от условията по подмярката, базирани на анализ на резултатите от прием 2015 г. включително:</w:t>
            </w:r>
          </w:p>
          <w:p w:rsidR="00A1205A" w:rsidRDefault="009E0DC1" w:rsidP="009E0DC1">
            <w:pPr>
              <w:numPr>
                <w:ilvl w:val="0"/>
                <w:numId w:val="20"/>
              </w:numPr>
              <w:spacing w:before="240" w:after="0"/>
              <w:ind w:hanging="210"/>
              <w:jc w:val="left"/>
              <w:rPr>
                <w:szCs w:val="24"/>
              </w:rPr>
            </w:pPr>
            <w:r>
              <w:rPr>
                <w:szCs w:val="24"/>
              </w:rPr>
              <w:t>Прецизиране на критериите за оценка, посредством промяна на съществуващите и добавянето на нови такива;</w:t>
            </w:r>
          </w:p>
          <w:p w:rsidR="00A1205A" w:rsidRDefault="009E0DC1" w:rsidP="009E0DC1">
            <w:pPr>
              <w:numPr>
                <w:ilvl w:val="0"/>
                <w:numId w:val="20"/>
              </w:numPr>
              <w:spacing w:before="0" w:after="0"/>
              <w:ind w:hanging="210"/>
              <w:jc w:val="left"/>
              <w:rPr>
                <w:szCs w:val="24"/>
              </w:rPr>
            </w:pPr>
            <w:r>
              <w:rPr>
                <w:szCs w:val="24"/>
              </w:rPr>
              <w:t>Добавяне на нова допустима дейност, свързана с инвестициите за напояване в рамките на земеделските стопанства;</w:t>
            </w:r>
          </w:p>
          <w:p w:rsidR="00A1205A" w:rsidRDefault="009E0DC1" w:rsidP="009E0DC1">
            <w:pPr>
              <w:numPr>
                <w:ilvl w:val="0"/>
                <w:numId w:val="20"/>
              </w:numPr>
              <w:spacing w:before="0" w:after="240"/>
              <w:ind w:hanging="210"/>
              <w:jc w:val="left"/>
              <w:rPr>
                <w:szCs w:val="24"/>
              </w:rPr>
            </w:pPr>
            <w:r>
              <w:rPr>
                <w:szCs w:val="24"/>
              </w:rPr>
              <w:t>Прецизиране на финансовите условия по подмярката чрез намаляване на максималния размер на разходите за едно проектно предложение и промяна в предоставяния интензитет на финансова помощ;</w:t>
            </w:r>
          </w:p>
          <w:p w:rsidR="00A1205A" w:rsidRDefault="009E0DC1">
            <w:pPr>
              <w:spacing w:before="240" w:after="240"/>
              <w:jc w:val="left"/>
              <w:rPr>
                <w:szCs w:val="24"/>
              </w:rPr>
            </w:pPr>
            <w:r>
              <w:rPr>
                <w:szCs w:val="24"/>
              </w:rPr>
              <w:t>Промените в подмярката са представени за одобрение пред Комитета за наблюдение на ПРСР, като за целта са направени и необходимите промени в текста на ПРСР с цел одобрение от страна на ЕК /Второ изменение на ПРСР 2014 – 2020 г. одобрено на 17.09.2016 г./. Във връзка с промените и отразяването им в приложимото национално законодателство / Наредба № 9 от 21.03.2015г./ е проведено обсъждане с браншовите организации.</w:t>
            </w:r>
          </w:p>
          <w:p w:rsidR="00A1205A" w:rsidRDefault="009E0DC1">
            <w:pPr>
              <w:spacing w:before="240" w:after="240"/>
              <w:jc w:val="left"/>
              <w:rPr>
                <w:szCs w:val="24"/>
              </w:rPr>
            </w:pPr>
            <w:r>
              <w:rPr>
                <w:szCs w:val="24"/>
              </w:rPr>
              <w:t>Приемът през 2016 г. е проведен в периода 14.10 – 07.12.2016 г., а определения бюджет е в размер на 237 млн. евро, който представлява остатъчния бюджет по подмярката, определен в ПРСР. В рамките на периода на прием са приложени новите финансови условия и кретирии за оценка, като е предоставена възможност за включване в заявленията за подпомагане инвестиции свързани с напояване и подаване на заявления за подомагане, подадени от признати групи и организаци на производители. В прием 2016 г. не е предоставена възможност за кандидатстване с интегрирани проекти и колективни инвестиции представени от юридически лица, каквато възможност предоставя текста на подмярката от ПРСР.</w:t>
            </w:r>
          </w:p>
          <w:p w:rsidR="00A1205A" w:rsidRDefault="009E0DC1">
            <w:pPr>
              <w:spacing w:before="240" w:after="240"/>
              <w:jc w:val="left"/>
              <w:rPr>
                <w:szCs w:val="24"/>
              </w:rPr>
            </w:pPr>
            <w:r>
              <w:rPr>
                <w:szCs w:val="24"/>
              </w:rPr>
              <w:t xml:space="preserve">В рамките на периода на прием на земеделските стопани с входирани заявления за подпомагане от прием 2015 г., които не са получили одобрение или отказ е предоставена възможност да прехвърлят </w:t>
            </w:r>
            <w:r>
              <w:rPr>
                <w:szCs w:val="24"/>
              </w:rPr>
              <w:lastRenderedPageBreak/>
              <w:t>заявленията си в прием 2016 г. без да е необходимо да подават ново заявление за подпомагане, което на практика облекчава тези земеделски стопани и намалява административната тежест, свързана с подготовка на нови заявления за подпомагане.</w:t>
            </w:r>
          </w:p>
          <w:p w:rsidR="00A1205A" w:rsidRDefault="009E0DC1">
            <w:pPr>
              <w:spacing w:before="240" w:after="240"/>
              <w:jc w:val="left"/>
              <w:rPr>
                <w:szCs w:val="24"/>
              </w:rPr>
            </w:pPr>
            <w:r>
              <w:rPr>
                <w:szCs w:val="24"/>
              </w:rPr>
              <w:t>С цел осигурявенето на публичност преди стартиране на приема е въведена процедура за въпроси и отговори, свързани с прилагането на подмярката и тълкуването на приложимите разпоредби, които се публикуват на интернет страницата на МЗХ. По този начин е осигурена навременна информация за кандидатите по отношение облекчаване подготовката на проектните им предложения.</w:t>
            </w:r>
          </w:p>
          <w:p w:rsidR="00A1205A" w:rsidRDefault="009E0DC1">
            <w:pPr>
              <w:spacing w:before="240" w:after="240"/>
              <w:jc w:val="left"/>
              <w:rPr>
                <w:szCs w:val="24"/>
              </w:rPr>
            </w:pPr>
            <w:r>
              <w:rPr>
                <w:szCs w:val="24"/>
              </w:rPr>
              <w:t>Освен провеждането на втори период на прием напредъкът по прилагането на подмярката през 2016 г. е свързан и със сключването на договори по заявленията за подпомагане, подадени от земеделските стопани през 2015 г.</w:t>
            </w:r>
          </w:p>
          <w:p w:rsidR="00A1205A" w:rsidRDefault="009E0DC1">
            <w:pPr>
              <w:spacing w:before="240" w:after="240"/>
              <w:jc w:val="left"/>
              <w:rPr>
                <w:szCs w:val="24"/>
              </w:rPr>
            </w:pPr>
            <w:r>
              <w:rPr>
                <w:b/>
                <w:bCs/>
                <w:szCs w:val="24"/>
              </w:rPr>
              <w:t>Таблица № 1 Постъпили заявления по подмярка 4.1 за подпомагане по години към 31.12.2016 г.</w:t>
            </w:r>
          </w:p>
          <w:p w:rsidR="00A1205A" w:rsidRDefault="009E0DC1">
            <w:pPr>
              <w:spacing w:before="240" w:after="240"/>
              <w:jc w:val="left"/>
              <w:rPr>
                <w:szCs w:val="24"/>
              </w:rPr>
            </w:pPr>
            <w:r>
              <w:rPr>
                <w:szCs w:val="24"/>
              </w:rPr>
              <w:t>През 2016 г. е приключила обработката на заявленията за подпомагане от прием 2015 г., като са сключени договори за финансова помощ в рамките на разполагаемия бюджет за приема.</w:t>
            </w:r>
          </w:p>
          <w:p w:rsidR="00A1205A" w:rsidRDefault="009E0DC1">
            <w:pPr>
              <w:spacing w:before="240" w:after="240"/>
              <w:jc w:val="left"/>
              <w:rPr>
                <w:szCs w:val="24"/>
              </w:rPr>
            </w:pPr>
            <w:r>
              <w:rPr>
                <w:szCs w:val="24"/>
              </w:rPr>
              <w:t>От всчики постъпили заявления за подпомагане от прием 2015 г. -  3 362 с размер на заявените публични средства (финансова помощ) 630,19 млн. евро са сключени 803 договора за финансова помощ с размер на одобрените средства от 157,9 млн. евро. Към края на 2016 г. действащите договори са 764 с размер на одобрената финансова помощ 150,75 млн. евро, а анулираните даговори са 39 с обща стойност 7,23 млн. евро. В обхвата на сключените договори попадат такива заявления за подпомагане, които са получили най – малко 39 точки по критериите за оценка по подмярката. Почти всички сключени договори от прием 2015 г. попадат в обхвата на така наречените приоритетни сектори, определени в ПРСР за периода 2014-2020 г.</w:t>
            </w:r>
          </w:p>
          <w:p w:rsidR="00A1205A" w:rsidRDefault="009E0DC1">
            <w:pPr>
              <w:spacing w:before="240" w:after="240"/>
              <w:jc w:val="left"/>
              <w:rPr>
                <w:szCs w:val="24"/>
              </w:rPr>
            </w:pPr>
            <w:r>
              <w:rPr>
                <w:szCs w:val="24"/>
              </w:rPr>
              <w:t>Наличието на анулирани договори в размер на около 5 % от всички сключени договори се дължи от една страна на подадени искания за прекратяване от страна на земеделските стопани и от друга страна на заложените задължителни срокове, в които да се стартира изпълнението на заложените дейности. Освободените средства по тези договори предоставят възможност за навременно използване на освободените средства за други проектни предложения, които отговарят на критериите за подпомагане.</w:t>
            </w:r>
          </w:p>
          <w:p w:rsidR="00A1205A" w:rsidRDefault="009E0DC1">
            <w:pPr>
              <w:spacing w:before="240" w:after="240"/>
              <w:jc w:val="left"/>
              <w:rPr>
                <w:szCs w:val="24"/>
              </w:rPr>
            </w:pPr>
            <w:r>
              <w:rPr>
                <w:szCs w:val="24"/>
              </w:rPr>
              <w:t>В рамките на 2016 г. са отхвърлени 102 заявления за подпомагане, като прогнозата е, че тази бройка ще се увеличи значително и то най – вече от заявления за подпомагане, за които не е наличен финансов ресурс. Това се дължи на факта, че в рамките на прием 2015 г. е отчетен свръх интерес 4 пъти по–висок от определения за приема бюджет. През 2016 г. се увеличава и броят на оттеглените по желание на кандидати проектни предложения - 229 за 46,02 млн. евро публични разходи и общо за двете години 261 за 50 млн. евро.</w:t>
            </w:r>
          </w:p>
          <w:p w:rsidR="00A1205A" w:rsidRDefault="009E0DC1">
            <w:pPr>
              <w:spacing w:before="240" w:after="240"/>
              <w:jc w:val="left"/>
              <w:rPr>
                <w:szCs w:val="24"/>
              </w:rPr>
            </w:pPr>
            <w:r>
              <w:rPr>
                <w:szCs w:val="24"/>
              </w:rPr>
              <w:t>Повишеният процент на оттеглени заявления за подпомагане през 2016 г. до определена степен се дължи и на възможността за подаване на нови заявления в края на 2016 г.</w:t>
            </w:r>
          </w:p>
          <w:p w:rsidR="00A1205A" w:rsidRDefault="009E0DC1">
            <w:pPr>
              <w:spacing w:before="240" w:after="240"/>
              <w:jc w:val="left"/>
              <w:rPr>
                <w:szCs w:val="24"/>
              </w:rPr>
            </w:pPr>
            <w:r>
              <w:rPr>
                <w:szCs w:val="24"/>
              </w:rPr>
              <w:t xml:space="preserve">През 2016 г. е предоставена и допълнителна възможност за земеделските стопани, подали заявления за подпомагане в прием 2015 г., за които не е наличен разполагам бюджет. Този подход е базиран на извършен анализ от страна на Управляващият орган и Разплащателна агенция. Обект на анализа са постигнатите резултати и данни по неизпълнение на договори от страна на земеделските стопани по отношение на подмярка 4.1 и исторически данни от прилагането на сходната мярка 121 от ПРСР 2007-2013 г. и има за цел да осигури максимално усваяване на бюджета по подмярката в случай на </w:t>
            </w:r>
            <w:r>
              <w:rPr>
                <w:szCs w:val="24"/>
              </w:rPr>
              <w:lastRenderedPageBreak/>
              <w:t>освободен ресурс в края на нейното прилагане. Тази възможност се отнася за заявления за подпомагане, получили между 38 и 33 точки и се изразява в сключването на договори за финансова помощ под условие за не повече от 50 млн. евро, като финансова помощ по тези договори се отпуска само в случай на освободен ресурс от проектите по проведения прием през 2015 г. По този начин е създадена възможност за максимално усвояване на средствата по подмярката в случай на остатъчен ресурс в края на периода на нейното прилагане.</w:t>
            </w:r>
          </w:p>
          <w:p w:rsidR="00A1205A" w:rsidRDefault="009E0DC1">
            <w:pPr>
              <w:spacing w:before="240" w:after="240"/>
              <w:jc w:val="left"/>
              <w:rPr>
                <w:szCs w:val="24"/>
              </w:rPr>
            </w:pPr>
            <w:r>
              <w:rPr>
                <w:szCs w:val="24"/>
              </w:rPr>
              <w:t>След предоставянето на тази възможност в края на 2016 г. е стартирала обработката на заявленията за подпомагане, попадащи в тази група, като сключването на договори под условие се планира за 2017 г. след приключване на всички проверки.</w:t>
            </w:r>
          </w:p>
          <w:p w:rsidR="00A1205A" w:rsidRDefault="009E0DC1">
            <w:pPr>
              <w:spacing w:before="240" w:after="240"/>
              <w:jc w:val="left"/>
              <w:rPr>
                <w:szCs w:val="24"/>
              </w:rPr>
            </w:pPr>
            <w:r>
              <w:rPr>
                <w:szCs w:val="24"/>
              </w:rPr>
              <w:t>Данните от прием 2016 г. припокриват до голяма степен картината от прием 2015 г., като отново е регистриран свръх интерес от страна на земеделските стопани за необходимост от инвестиционна подкрепа.</w:t>
            </w:r>
          </w:p>
          <w:p w:rsidR="00A1205A" w:rsidRDefault="009E0DC1">
            <w:pPr>
              <w:spacing w:before="240" w:after="240"/>
              <w:jc w:val="left"/>
              <w:rPr>
                <w:szCs w:val="24"/>
              </w:rPr>
            </w:pPr>
            <w:r>
              <w:rPr>
                <w:szCs w:val="24"/>
              </w:rPr>
              <w:t>Подадените през 2016 г. заявления са общо 2 926 с размер на заявената публична помощ от 717,6 млн. евро при разполагаем бюджет за приема от 237 млн. евро., което показва тенденция от три пъти по – висок интерес спрямо определения бюджет за приема. Също така въпреки, че за периода на прием важат по – ниски лимити за проектните предложения, на база средно заявената финансова помощ /245 хил. евро/ за едно приектно предложение е по – виско в сравнение с прием 2015 г. /187 хил. евро/. От подадените проеткни предложения 239 са земеделските стопани, които са се възползвали от възможността за прехвърляне на заявления от прием 2015 г.</w:t>
            </w:r>
          </w:p>
          <w:p w:rsidR="00A1205A" w:rsidRDefault="009E0DC1">
            <w:pPr>
              <w:spacing w:before="240" w:after="240"/>
              <w:jc w:val="left"/>
              <w:rPr>
                <w:szCs w:val="24"/>
              </w:rPr>
            </w:pPr>
            <w:r>
              <w:rPr>
                <w:szCs w:val="24"/>
              </w:rPr>
              <w:t>Към края на 2016 г. не е завършила обработката на подадените във вторият период на прием заявления за подпомагане. По предварителни данни определеният за прием бюджет от 237 млн. евро се прогнозира, че ще покрие възможността за финансиране на заявления за подпомагане, получили до 53 т. включително. В тази група попадат  866 проектни предложения, като техният брой може да претърпи промяна след извършване на всички етапи на проверка.</w:t>
            </w:r>
          </w:p>
          <w:p w:rsidR="00A1205A" w:rsidRDefault="009E0DC1">
            <w:pPr>
              <w:spacing w:before="240" w:after="240"/>
              <w:jc w:val="left"/>
              <w:rPr>
                <w:szCs w:val="24"/>
              </w:rPr>
            </w:pPr>
            <w:r>
              <w:rPr>
                <w:szCs w:val="24"/>
              </w:rPr>
              <w:t>На база тези прогнозни данни и резултатите от прием 2015 г. въпреки значителният интерес от страна на земеделските стопани, може да се направи извода, че на този етап и с разполагаемия финансов ресурс не могат да бъдат постигнати заложените показатели по отношение на брой подкрепени земеделски стопанства по подмярка 4.1 за целият период на прилагане на ПРСР. Като основно препятствие пред достигането на показателя може да се определи недостатъчният бюджет по подмярката.</w:t>
            </w:r>
          </w:p>
          <w:p w:rsidR="00A1205A" w:rsidRDefault="009E0DC1">
            <w:pPr>
              <w:spacing w:before="240" w:after="240"/>
              <w:jc w:val="left"/>
              <w:rPr>
                <w:szCs w:val="24"/>
              </w:rPr>
            </w:pPr>
            <w:r>
              <w:rPr>
                <w:szCs w:val="24"/>
              </w:rPr>
              <w:t>Във връзка с прилагане на подмярката през 2016 г. са поети разходни задължения по области с поставен акцент в размер на 928 796 евро в рамките на фокус област 2В</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2 Изплатена финансова помощ по подмярка 4.1 по години към 31.12.2016 г.</w:t>
            </w:r>
          </w:p>
          <w:p w:rsidR="00A1205A" w:rsidRDefault="009E0DC1">
            <w:pPr>
              <w:spacing w:before="240" w:after="240"/>
              <w:jc w:val="left"/>
              <w:rPr>
                <w:szCs w:val="24"/>
              </w:rPr>
            </w:pPr>
            <w:r>
              <w:rPr>
                <w:szCs w:val="24"/>
              </w:rPr>
              <w:t xml:space="preserve">По всички слключени договори към края на 2016 г. са изплатени 295 заявки за плащане с размер на изплатените средства 32,98 млн. евро. Броят на приключените проекти, по които има извършено окончателно плащане е 167, общият размер на изплатената финансова помощ е в размер на 15,8 млн. евро. Изпълнените проекти, по които е извършено финално плащане са предимно свързани със закупуване на земеделска техника и оборудване, което е обяснимо предвид факта, че за подобен тип проекти са необходими по кратки срокове за въвеждане в експлотация на инвестициите. Показателно е съотношението на изплатения бюджет по приключените проекти спрямо общия договорен бюджет </w:t>
            </w:r>
            <w:r>
              <w:rPr>
                <w:szCs w:val="24"/>
              </w:rPr>
              <w:lastRenderedPageBreak/>
              <w:t>по подмярката – едва 10 % към края на втората година от прилагане на подмярка 4.1.</w:t>
            </w:r>
          </w:p>
          <w:p w:rsidR="00A1205A" w:rsidRDefault="009E0DC1">
            <w:pPr>
              <w:spacing w:before="240" w:after="240"/>
              <w:jc w:val="left"/>
              <w:rPr>
                <w:szCs w:val="24"/>
              </w:rPr>
            </w:pPr>
            <w:r>
              <w:rPr>
                <w:szCs w:val="24"/>
              </w:rPr>
              <w:t>Тези данни следва да бъдат взети под внимание и анализирани с цел да се ускори процеса по обработка на заявленията за подпомагане и навременно изпълнеине на проектите в рамките на периода на прилагане на ПРСР 2014-2020 г.</w:t>
            </w:r>
          </w:p>
          <w:p w:rsidR="00A1205A" w:rsidRDefault="009E0DC1">
            <w:pPr>
              <w:spacing w:before="240" w:after="240"/>
              <w:jc w:val="left"/>
              <w:rPr>
                <w:szCs w:val="24"/>
              </w:rPr>
            </w:pPr>
            <w:r>
              <w:rPr>
                <w:szCs w:val="24"/>
              </w:rPr>
              <w:t>Прекалено дългите срокове за обработка на проекти преди сключването на договори създават несигурност у земеделските стопани по отношение на планиране на техните инвестиционни намерения в условията на непрекъснато променящ се конкурентен пазар. От друга страна, дългите срокове за обработка създават и предпоставка за неравномерни цикли на изплащане на финансовата помощ и поставят под риск изпълнението на правилото N+3 в следващите години от прилагане на ПРСР 2014-2020 г.</w:t>
            </w:r>
          </w:p>
          <w:p w:rsidR="00A1205A" w:rsidRDefault="009E0DC1">
            <w:pPr>
              <w:spacing w:before="240" w:after="240"/>
              <w:jc w:val="left"/>
              <w:rPr>
                <w:szCs w:val="24"/>
              </w:rPr>
            </w:pPr>
            <w:r>
              <w:rPr>
                <w:b/>
                <w:bCs/>
                <w:szCs w:val="24"/>
              </w:rPr>
              <w:t>Таблица № 3 Постъпили заявления за подпомагане по подмярка 4.1. по сектори към 31.12.2016 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На база сключените договори от прием 2015 г. се наблюдава силно изразено подпомагане на така наречените „чувствителни сектори”, които освен приоритет по подмярка 4.1, са определени и като хоризонтален приоритет за цялата ПРСР, чрез интерпретирането им в много от мерките свързани със селското стопанство.</w:t>
            </w:r>
          </w:p>
          <w:p w:rsidR="00A1205A" w:rsidRDefault="009E0DC1">
            <w:pPr>
              <w:spacing w:before="240" w:after="240"/>
              <w:jc w:val="left"/>
              <w:rPr>
                <w:szCs w:val="24"/>
              </w:rPr>
            </w:pPr>
            <w:r>
              <w:rPr>
                <w:szCs w:val="24"/>
              </w:rPr>
              <w:t>Най – голям е делът на сключените договори в сектор „плодове и зеленчуци” с 356 сключени договора с размер на одобрената публична помощ от почти 64 млн. евро или 40 % от бюджета, определен за периода на прием. На второ място са проектите в сектор „животновъдство” с 312 договора или 39 % от сключените договори и финансова помощ в размер на 70 млн. евро. Договорите в сектор „етерично-маслени и медицински култури” и смесените или други проекти са съответно с 9 % и 8 % дял и размер на финансовата помощ 11,5 млн. евро и 12,7 млн. евро.</w:t>
            </w:r>
          </w:p>
          <w:p w:rsidR="00A1205A" w:rsidRDefault="009E0DC1">
            <w:pPr>
              <w:spacing w:before="240" w:after="240"/>
              <w:jc w:val="left"/>
              <w:rPr>
                <w:szCs w:val="24"/>
              </w:rPr>
            </w:pPr>
            <w:r>
              <w:rPr>
                <w:szCs w:val="24"/>
              </w:rPr>
              <w:t>Прави впечатление, че средната стойност на финансирането по един проект в сектор „животновъдство” е 225 хил. евро при 179 хил. евро средно финансиране в сектор „плодове и зеленчуци”. Тази разлика от 25 % може да се отдаде на по-специфичните инвестиционни разходи, които кандидатите от сектор „животновъдство” предприемат, включително и такива, свързани със строително – монтажни работи. Средната стойност на финансовата помощ при проектите за производство на етерично-маслени и медицински култури е почти 165 хил. евро.</w:t>
            </w:r>
          </w:p>
          <w:p w:rsidR="00A1205A" w:rsidRDefault="009E0DC1">
            <w:pPr>
              <w:spacing w:before="240" w:after="240"/>
              <w:jc w:val="left"/>
              <w:rPr>
                <w:szCs w:val="24"/>
              </w:rPr>
            </w:pPr>
            <w:r>
              <w:rPr>
                <w:szCs w:val="24"/>
              </w:rPr>
              <w:t>Най – голям е делът на завършените проекти за плодове и зеленчуци 83 и изплатена финансова помощ от 6,37 млн. евро, а проектите в сектор „животновъдство” с получно окончателно плащане са 57 и изплатена финансова помощ от 5,45 млн. евро. В сектор „етерично маслени и медицински култури” са завършени 11 проекта с изплатена финансова помощ по тях в размер на 1,76 млн. евро.</w:t>
            </w:r>
          </w:p>
          <w:p w:rsidR="00A1205A" w:rsidRDefault="009E0DC1">
            <w:pPr>
              <w:spacing w:before="240" w:after="240"/>
              <w:jc w:val="left"/>
              <w:rPr>
                <w:szCs w:val="24"/>
              </w:rPr>
            </w:pPr>
            <w:r>
              <w:rPr>
                <w:szCs w:val="24"/>
              </w:rPr>
              <w:t xml:space="preserve">Наличието на 22 % завършени проекти в рамките на годината, в която са сключени договорите за финансова помощ е добър показател по отношение на темпа на изпълнение на инвестициите от страна на земеделските стопани. Може да се каже, че част от инвестициите по тези проекти са направени от земеделските стопани в периода след подаване на заявлението за подпомагане и преди подписването на договор за финансова помощ. От друга страна следва да се обърне внимание на прекалено дългият период от подаване на заявленията за попомагане до приключване на тяхната обработка. За тази цел е необходимо на база на резулатите от първият период на прием да се оптимизира обработката на заявленията от прием 2016 г. с цел осигураване на възможност за </w:t>
            </w:r>
            <w:r>
              <w:rPr>
                <w:szCs w:val="24"/>
              </w:rPr>
              <w:lastRenderedPageBreak/>
              <w:t>регулярност на плащанията през 2017 г., 2018 г. и 2019 г.</w:t>
            </w:r>
          </w:p>
          <w:p w:rsidR="00A1205A" w:rsidRDefault="009E0DC1">
            <w:pPr>
              <w:spacing w:before="240" w:after="240"/>
              <w:jc w:val="left"/>
              <w:rPr>
                <w:szCs w:val="24"/>
              </w:rPr>
            </w:pPr>
            <w:r>
              <w:rPr>
                <w:szCs w:val="24"/>
              </w:rPr>
              <w:t>В таблиците по – долу е посочена обобщена информация за завършените проекти по някои основни паказатели, заложени в ПРСР.</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4 Разпределение на завършените проекти към 31.12.2016 г. по области</w:t>
            </w:r>
          </w:p>
          <w:p w:rsidR="00A1205A" w:rsidRDefault="009E0DC1">
            <w:pPr>
              <w:spacing w:before="240" w:after="240"/>
              <w:jc w:val="left"/>
              <w:rPr>
                <w:szCs w:val="24"/>
              </w:rPr>
            </w:pPr>
            <w:r>
              <w:rPr>
                <w:szCs w:val="24"/>
              </w:rPr>
              <w:t>Към края на първата година от прилагане на подмярката, през която на практика са извършвани плащания по сключените договори, се наблюдава превес на завършените проекти в районите с природни ограничения 89 завършени проекти с изплатена финансова помощ в размер на 10 млн. евро.</w:t>
            </w:r>
          </w:p>
          <w:p w:rsidR="00A1205A" w:rsidRDefault="009E0DC1">
            <w:pPr>
              <w:spacing w:before="240" w:after="240"/>
              <w:jc w:val="left"/>
              <w:rPr>
                <w:szCs w:val="24"/>
              </w:rPr>
            </w:pPr>
            <w:r>
              <w:rPr>
                <w:szCs w:val="24"/>
              </w:rPr>
              <w:t>В същото време завършените проекти извън обхвата на тези райони са 78 проекта с изплатена финансова помощ от 5,9 млн. евро.</w:t>
            </w:r>
          </w:p>
          <w:p w:rsidR="00A1205A" w:rsidRDefault="009E0DC1">
            <w:pPr>
              <w:spacing w:before="240" w:after="240"/>
              <w:jc w:val="left"/>
              <w:rPr>
                <w:szCs w:val="24"/>
              </w:rPr>
            </w:pPr>
            <w:r>
              <w:rPr>
                <w:szCs w:val="24"/>
              </w:rPr>
              <w:t>Данните от 2016 г. показват, че на този първи етап от прилагане на мярката по отношение на необлагодетелстваните райони се наблюдава изпълнение на целенасочената подкрепа за районите с природни ограничения. Това са само първоначални данни на база малка част от приключени проекти, но са налице добри отправни резултати, които трябва да се проследяват и в бъдеще с цел определяне на по – пълна картина за тяхното изпълнение.</w:t>
            </w:r>
          </w:p>
          <w:p w:rsidR="00A1205A" w:rsidRDefault="009E0DC1">
            <w:pPr>
              <w:spacing w:before="240" w:after="240"/>
              <w:jc w:val="left"/>
              <w:rPr>
                <w:szCs w:val="24"/>
              </w:rPr>
            </w:pPr>
            <w:r>
              <w:rPr>
                <w:szCs w:val="24"/>
              </w:rPr>
              <w:t>На база проектите с окончателно плащане към края на 2016 г. разплатените средства и броят на подкрепени стопанства се отнасят към следните фокус области:</w:t>
            </w:r>
          </w:p>
          <w:p w:rsidR="00A1205A" w:rsidRDefault="009E0DC1" w:rsidP="009E0DC1">
            <w:pPr>
              <w:numPr>
                <w:ilvl w:val="0"/>
                <w:numId w:val="21"/>
              </w:numPr>
              <w:spacing w:before="240" w:after="0"/>
              <w:ind w:hanging="210"/>
              <w:jc w:val="left"/>
              <w:rPr>
                <w:szCs w:val="24"/>
              </w:rPr>
            </w:pPr>
            <w:r>
              <w:rPr>
                <w:szCs w:val="24"/>
              </w:rPr>
              <w:t>2А – 12,01 млн. евро публични разходи и 127 подкрепени стопанства;</w:t>
            </w:r>
          </w:p>
          <w:p w:rsidR="00A1205A" w:rsidRDefault="009E0DC1" w:rsidP="009E0DC1">
            <w:pPr>
              <w:numPr>
                <w:ilvl w:val="0"/>
                <w:numId w:val="21"/>
              </w:numPr>
              <w:spacing w:before="0" w:after="0"/>
              <w:ind w:hanging="210"/>
              <w:jc w:val="left"/>
              <w:rPr>
                <w:szCs w:val="24"/>
              </w:rPr>
            </w:pPr>
            <w:r>
              <w:rPr>
                <w:szCs w:val="24"/>
              </w:rPr>
              <w:t>2В – 3,78 млн. евро публични разходи и 37 подкрепени стопанства;</w:t>
            </w:r>
          </w:p>
          <w:p w:rsidR="00A1205A" w:rsidRDefault="009E0DC1" w:rsidP="009E0DC1">
            <w:pPr>
              <w:numPr>
                <w:ilvl w:val="0"/>
                <w:numId w:val="21"/>
              </w:numPr>
              <w:spacing w:before="0" w:after="0"/>
              <w:ind w:hanging="210"/>
              <w:jc w:val="left"/>
              <w:rPr>
                <w:szCs w:val="24"/>
              </w:rPr>
            </w:pPr>
            <w:r>
              <w:rPr>
                <w:szCs w:val="24"/>
              </w:rPr>
              <w:t>5В – 0,04 хил. евро публични разходи и 2 подкрепени стопанства;</w:t>
            </w:r>
          </w:p>
          <w:p w:rsidR="00A1205A" w:rsidRDefault="009E0DC1" w:rsidP="009E0DC1">
            <w:pPr>
              <w:numPr>
                <w:ilvl w:val="0"/>
                <w:numId w:val="21"/>
              </w:numPr>
              <w:spacing w:before="0" w:after="240"/>
              <w:ind w:hanging="210"/>
              <w:jc w:val="left"/>
              <w:rPr>
                <w:szCs w:val="24"/>
              </w:rPr>
            </w:pPr>
            <w:r>
              <w:rPr>
                <w:szCs w:val="24"/>
              </w:rPr>
              <w:t>5С – 0,04 хил. евро публични разходи и 1 подкрепено стопанство;</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5 Разпределение на завършените проекти към 31.12.2016 г. по възраст и пол</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Данните от първите сключени договори показват, че физическите лица под 40 годишна възраст представляват 32 % от всички сключени договори до края на 2016 г., а значително по малко са физическите лица над 40 г. По договори сключени с лица под 40 г. е ангажиран финансов ресурс в размер на 34,59 млн. евро или 22 % от общия бюджет за прием 2015 г., като мъжете под 40 г. със сключени договори имат превес над жените прицсъотношение 68 % към 32 %. Въпреки, че преобладаваща част от земеделските стопанства в страната са физически лица, традиционно в рамките на ПРСР юридическите лица – земеделски стопани имат най – голям относителен дял с 393 сключени договора и размер на финансовата помощ от 110,4 млн. евро.</w:t>
            </w:r>
          </w:p>
          <w:p w:rsidR="00A1205A" w:rsidRDefault="009E0DC1">
            <w:pPr>
              <w:spacing w:before="240" w:after="240"/>
              <w:jc w:val="left"/>
              <w:rPr>
                <w:szCs w:val="24"/>
              </w:rPr>
            </w:pPr>
            <w:r>
              <w:rPr>
                <w:szCs w:val="24"/>
              </w:rPr>
              <w:t xml:space="preserve">Средната стойност на финансовата помощ при земеделските стопани под 40 г. е 132 хил. евро, а при юридическите лица тази стойност е съответно 280,5 хил евро. Интересен е факта, че най – ниска стойност на проектите се отчита при физическите лица над 40 г. където средната стойност е 90 хил. </w:t>
            </w:r>
            <w:r>
              <w:rPr>
                <w:szCs w:val="24"/>
              </w:rPr>
              <w:lastRenderedPageBreak/>
              <w:t>евро за един проект.</w:t>
            </w:r>
          </w:p>
          <w:p w:rsidR="00A1205A" w:rsidRDefault="009E0DC1">
            <w:pPr>
              <w:spacing w:before="240" w:after="240"/>
              <w:jc w:val="left"/>
              <w:rPr>
                <w:szCs w:val="24"/>
              </w:rPr>
            </w:pPr>
            <w:r>
              <w:rPr>
                <w:szCs w:val="24"/>
              </w:rPr>
              <w:t>Като цяло силно изразена е тенденцията, че физическите лица извършват по - малки по мащаб инвестиции в сравнение с юридическите лица, като разликата е в размер на между 2 и 3 пъти по – голям размер на финансовата помощ.</w:t>
            </w:r>
          </w:p>
          <w:p w:rsidR="00A1205A" w:rsidRDefault="009E0DC1">
            <w:pPr>
              <w:spacing w:before="240" w:after="240"/>
              <w:jc w:val="left"/>
              <w:rPr>
                <w:szCs w:val="24"/>
              </w:rPr>
            </w:pPr>
            <w:r>
              <w:rPr>
                <w:szCs w:val="24"/>
              </w:rPr>
              <w:t>В рамките на 2016 г. броят завършени проекти е в плоза на физическите лица 104 , но като обем на изплатената финансова помощ превес получават юридическите лица с изплатени средства в размер на 10 млн. евро, при общо 6 млн. евро за физическите лица. Тези данни може би са в резултат на малкият обем инвестиции, които предприемат физическите лица земеделски стопани и по – краткото време за тяхното изпълнение във времето.</w:t>
            </w:r>
          </w:p>
          <w:p w:rsidR="00A1205A" w:rsidRDefault="009E0DC1">
            <w:pPr>
              <w:spacing w:before="240" w:after="240"/>
              <w:jc w:val="left"/>
              <w:rPr>
                <w:szCs w:val="24"/>
              </w:rPr>
            </w:pPr>
            <w:r>
              <w:rPr>
                <w:szCs w:val="24"/>
              </w:rPr>
              <w:t>На база данните от сключените договори от прием 2015 г. по подмярката може да се направи извод, че е осигурена възможност за достъп до финансиране на млади земеделески стопани, които представляват почти 1/3 от сключените договори. От друга страна е налице запазващо се преимущество на подпомаганите мъже физически лица за сметка на жените физически лица земеделски стопани. Тези тенденции до голяма степен се дължат и на структурата на земеделските стопанства в страната и тяхната характеристика, която намира своето отражение в подпомагането по линия на ЕЗФРСР.</w:t>
            </w:r>
          </w:p>
          <w:p w:rsidR="00A1205A" w:rsidRDefault="009E0DC1">
            <w:pPr>
              <w:spacing w:before="240" w:after="240"/>
              <w:jc w:val="left"/>
              <w:rPr>
                <w:szCs w:val="24"/>
              </w:rPr>
            </w:pPr>
            <w:r>
              <w:rPr>
                <w:szCs w:val="24"/>
              </w:rPr>
              <w:t>На база сключените договори от прием 2015 г. е отчетена тенденция към изключително висок относителен дял на одобрени земеделски стопанства, произвеждащи билологични продукти /57 договора/ или в преход към такъв тип производство /306/. Този висок дял особено на стопанствата в преход е дал основание за коригиране на критериите за оценка в рамките на прием 2016 г.</w:t>
            </w:r>
          </w:p>
          <w:p w:rsidR="00A1205A" w:rsidRDefault="009E0DC1">
            <w:pPr>
              <w:spacing w:before="240" w:after="240"/>
              <w:jc w:val="left"/>
              <w:rPr>
                <w:szCs w:val="24"/>
              </w:rPr>
            </w:pPr>
            <w:r>
              <w:rPr>
                <w:szCs w:val="24"/>
              </w:rPr>
              <w:t>Преобладаващата част от дейностите по сключените договори се предвижва да бъдат изпълнени в рамките на селските райони на страната, като и с изпълнението на инвестициите по проектите в повечето одобрени земеделски стопанства се предвижда наемането на допълнителен производствен или адмистративен персонал.</w:t>
            </w:r>
          </w:p>
          <w:p w:rsidR="00A1205A" w:rsidRDefault="009E0DC1">
            <w:pPr>
              <w:spacing w:before="240" w:after="240"/>
              <w:jc w:val="left"/>
              <w:rPr>
                <w:szCs w:val="24"/>
              </w:rPr>
            </w:pPr>
            <w:r>
              <w:rPr>
                <w:szCs w:val="24"/>
              </w:rPr>
              <w:t>Около 10 % от одобрените от прием 2015 г. проекти, включват комбинация от инвестиции, които подобряват енергийната ефективност на стопанствата, а около 2 % са проектите с включени инвестиции, свързани с опазване на компонентите на околната среда.</w:t>
            </w:r>
          </w:p>
          <w:p w:rsidR="00A1205A" w:rsidRDefault="009E0DC1">
            <w:pPr>
              <w:spacing w:before="240" w:after="240"/>
              <w:jc w:val="left"/>
              <w:rPr>
                <w:szCs w:val="24"/>
              </w:rPr>
            </w:pPr>
            <w:r>
              <w:rPr>
                <w:szCs w:val="24"/>
              </w:rPr>
              <w:t>Постигнатите до момеnта нива на показателите са на база едва 4% /15,8 млн. евро/ разплатена финансова помощ по приключени проекти, като постигнатите тенденции към момента могат да претърпят значителни изменение особено на база резултатите от изпълнението на проектите от прием 2016 г. по подмярката.</w:t>
            </w:r>
          </w:p>
          <w:p w:rsidR="00A1205A" w:rsidRDefault="009E0DC1">
            <w:pPr>
              <w:spacing w:before="240" w:after="240"/>
              <w:jc w:val="left"/>
              <w:rPr>
                <w:szCs w:val="24"/>
              </w:rPr>
            </w:pPr>
            <w:r>
              <w:rPr>
                <w:b/>
                <w:bCs/>
                <w:szCs w:val="24"/>
              </w:rPr>
              <w:t>Таблица № 6</w:t>
            </w:r>
            <w:r>
              <w:rPr>
                <w:szCs w:val="24"/>
              </w:rPr>
              <w:t xml:space="preserve"> </w:t>
            </w:r>
            <w:r>
              <w:rPr>
                <w:b/>
                <w:bCs/>
                <w:szCs w:val="24"/>
              </w:rPr>
              <w:t>Разпределение на завършените проекти към 31.12.2016 г. по селскостопански отрасъл</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Разглеждайки структурата на приключените проекти към края на 2016 г., се забелязва много ясно заложената в ПРСР приоритетност към определени чувствителни сектори. Въпреки малкият брой приключени проекти и разплатени едва 4 % от бюджета на подмярката ясно изпъкват секторите „животновъдство” и „плодове и зеленчуци”, към които е насочен по – голяма част от ресурса по приключените проекти.</w:t>
            </w:r>
          </w:p>
          <w:p w:rsidR="00A1205A" w:rsidRDefault="009E0DC1">
            <w:pPr>
              <w:spacing w:before="240" w:after="240"/>
              <w:jc w:val="left"/>
              <w:rPr>
                <w:szCs w:val="24"/>
              </w:rPr>
            </w:pPr>
            <w:r>
              <w:rPr>
                <w:szCs w:val="24"/>
              </w:rPr>
              <w:lastRenderedPageBreak/>
              <w:t>Тук отново е ясно изразена тенденция за необходимостта от време за приключване на проектите от двата основни чувствителни сектора и по – бързото изпълнение на проекти, свързани с отглеждането на плодове и зеленчуци.</w:t>
            </w:r>
          </w:p>
          <w:p w:rsidR="00A1205A" w:rsidRDefault="009E0DC1">
            <w:pPr>
              <w:spacing w:before="240" w:after="240"/>
              <w:jc w:val="left"/>
              <w:rPr>
                <w:szCs w:val="24"/>
              </w:rPr>
            </w:pPr>
            <w:r>
              <w:rPr>
                <w:szCs w:val="24"/>
              </w:rPr>
              <w:t>Отчитайки направените промени в критериите за оценка по подмярката и засилването на тежестта по критериите, свързани с чувствителните сектори, може да се прогнозира, че в рамките на прилагане на мярката ще се постигне високо изпълнение на заложената цел за приоритетно насочване на финансовата помощ.</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7 Разпределение на завършените проекти към 31.12.2016 г. по размер на обработваемите площи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Завършените до момента проекти показват тендения, че по – големите стопанства /над 50 ха/ доминират при изпълнението на проектите и усвояване на финансовата помощ. Тези стопанства представляват 57 % от всички завършени проекти до края на 2016 г. с размер на финансовата помощ 53 %. Интересен е факта, че на второ място по приключени проекти са най – малките стопанства /с под 5 ха/ с 26 % от всички завършени проекти и 36 % от изплатената финансова помощ. Докато при стопанствата с между 5 и 20 ха са приключени едва 8 проекта.</w:t>
            </w:r>
          </w:p>
          <w:p w:rsidR="00A1205A" w:rsidRDefault="009E0DC1">
            <w:pPr>
              <w:spacing w:before="240" w:after="240"/>
              <w:jc w:val="left"/>
              <w:rPr>
                <w:szCs w:val="24"/>
              </w:rPr>
            </w:pPr>
            <w:r>
              <w:rPr>
                <w:szCs w:val="24"/>
              </w:rPr>
              <w:t>Тези първоначални данни постават въпроса с достъпа до финансиране на по – малките стопанства и готовността им да изпълняват в по - кратки срокове своите инвестиционни намерения.</w:t>
            </w:r>
          </w:p>
          <w:p w:rsidR="00A1205A" w:rsidRDefault="009E0DC1">
            <w:pPr>
              <w:spacing w:before="240" w:after="240"/>
              <w:jc w:val="left"/>
              <w:rPr>
                <w:szCs w:val="24"/>
              </w:rPr>
            </w:pPr>
            <w:r>
              <w:rPr>
                <w:szCs w:val="24"/>
              </w:rPr>
              <w:t>На база данните посочени по – горе към края на 2016 г. при наличие на 167 завършени проекта и изплатена финансова помощ по тях в размер на 15,8 млн. евро не могат да бъдат направени генерални изводи по отношние постигането на различните показатели и влиянието им върху отделните фокус области по отделните приоритети, заложени в ПРСР 2014-2020.</w:t>
            </w:r>
          </w:p>
          <w:p w:rsidR="00A1205A" w:rsidRDefault="009E0DC1">
            <w:pPr>
              <w:spacing w:before="240" w:after="240"/>
              <w:jc w:val="left"/>
              <w:rPr>
                <w:szCs w:val="24"/>
              </w:rPr>
            </w:pPr>
            <w:r>
              <w:rPr>
                <w:szCs w:val="24"/>
              </w:rPr>
              <w:t>По – скоро тези първоначални данни могат да послужат за очертанаване на няколко тенденции, които могат да претърпят съответните изменения в хода н напредъка по изпълнение на проектите и усвояване на средствата. Някои от наблюдаваните тенденции са:</w:t>
            </w:r>
          </w:p>
          <w:p w:rsidR="00A1205A" w:rsidRDefault="009E0DC1" w:rsidP="009E0DC1">
            <w:pPr>
              <w:numPr>
                <w:ilvl w:val="0"/>
                <w:numId w:val="22"/>
              </w:numPr>
              <w:spacing w:before="240" w:after="0"/>
              <w:ind w:hanging="210"/>
              <w:jc w:val="left"/>
              <w:rPr>
                <w:szCs w:val="24"/>
              </w:rPr>
            </w:pPr>
            <w:r>
              <w:rPr>
                <w:szCs w:val="24"/>
              </w:rPr>
              <w:t>Съответстиве с интервенционната логика на ПРСР и правилно адресиране на помощта към повишаване на конкурентноспособността на така наречените чувствителни сектори;</w:t>
            </w:r>
          </w:p>
          <w:p w:rsidR="00A1205A" w:rsidRDefault="009E0DC1" w:rsidP="009E0DC1">
            <w:pPr>
              <w:numPr>
                <w:ilvl w:val="0"/>
                <w:numId w:val="22"/>
              </w:numPr>
              <w:spacing w:before="0" w:after="0"/>
              <w:ind w:hanging="210"/>
              <w:jc w:val="left"/>
              <w:rPr>
                <w:szCs w:val="24"/>
              </w:rPr>
            </w:pPr>
            <w:r>
              <w:rPr>
                <w:szCs w:val="24"/>
              </w:rPr>
              <w:t>Висок относителен дял на земеделските стопани до 40 г., които спомагат за навлизането на нови хора в селскостопанското производсто и така нареченото подмладяване;</w:t>
            </w:r>
          </w:p>
          <w:p w:rsidR="00A1205A" w:rsidRDefault="009E0DC1" w:rsidP="009E0DC1">
            <w:pPr>
              <w:numPr>
                <w:ilvl w:val="0"/>
                <w:numId w:val="22"/>
              </w:numPr>
              <w:spacing w:before="0" w:after="0"/>
              <w:ind w:hanging="210"/>
              <w:jc w:val="left"/>
              <w:rPr>
                <w:szCs w:val="24"/>
              </w:rPr>
            </w:pPr>
            <w:r>
              <w:rPr>
                <w:szCs w:val="24"/>
              </w:rPr>
              <w:t>Целево насочва на помощта към стопанства в рамките на районите с природни огранчения;</w:t>
            </w:r>
          </w:p>
          <w:p w:rsidR="00A1205A" w:rsidRDefault="009E0DC1" w:rsidP="009E0DC1">
            <w:pPr>
              <w:numPr>
                <w:ilvl w:val="0"/>
                <w:numId w:val="22"/>
              </w:numPr>
              <w:spacing w:before="0" w:after="0"/>
              <w:ind w:hanging="210"/>
              <w:jc w:val="left"/>
              <w:rPr>
                <w:szCs w:val="24"/>
              </w:rPr>
            </w:pPr>
            <w:r>
              <w:rPr>
                <w:szCs w:val="24"/>
              </w:rPr>
              <w:t>Дисбаланс при финализирането на проекти и усвояване на средства между по – малките стопанства и по – големите такива;</w:t>
            </w:r>
          </w:p>
          <w:p w:rsidR="00A1205A" w:rsidRDefault="009E0DC1" w:rsidP="009E0DC1">
            <w:pPr>
              <w:numPr>
                <w:ilvl w:val="0"/>
                <w:numId w:val="22"/>
              </w:numPr>
              <w:spacing w:before="0" w:after="0"/>
              <w:ind w:hanging="210"/>
              <w:jc w:val="left"/>
              <w:rPr>
                <w:szCs w:val="24"/>
              </w:rPr>
            </w:pPr>
            <w:r>
              <w:rPr>
                <w:szCs w:val="24"/>
              </w:rPr>
              <w:t>Недостатъчен финансов ресурс, покриващ около 25-30 % от заявения от земеделските стопани интерес;</w:t>
            </w:r>
          </w:p>
          <w:p w:rsidR="00A1205A" w:rsidRDefault="009E0DC1" w:rsidP="009E0DC1">
            <w:pPr>
              <w:numPr>
                <w:ilvl w:val="0"/>
                <w:numId w:val="22"/>
              </w:numPr>
              <w:spacing w:before="0" w:after="240"/>
              <w:ind w:hanging="210"/>
              <w:jc w:val="left"/>
              <w:rPr>
                <w:szCs w:val="24"/>
              </w:rPr>
            </w:pPr>
            <w:r>
              <w:rPr>
                <w:szCs w:val="24"/>
              </w:rPr>
              <w:t>Интерес на земеделските стопани най – вече към различни производствени активи и по – слаб интерес към такива свързани с иновации, околна среда и ВЕИ.</w:t>
            </w:r>
          </w:p>
          <w:p w:rsidR="00A1205A" w:rsidRDefault="009E0DC1">
            <w:pPr>
              <w:spacing w:before="240" w:after="240"/>
              <w:ind w:left="720"/>
              <w:jc w:val="left"/>
              <w:rPr>
                <w:szCs w:val="24"/>
              </w:rPr>
            </w:pPr>
            <w:r>
              <w:rPr>
                <w:szCs w:val="24"/>
              </w:rPr>
              <w:t> </w:t>
            </w:r>
          </w:p>
          <w:p w:rsidR="00A1205A" w:rsidRDefault="009E0DC1">
            <w:pPr>
              <w:spacing w:before="240" w:after="240"/>
              <w:jc w:val="left"/>
              <w:rPr>
                <w:szCs w:val="24"/>
              </w:rPr>
            </w:pPr>
            <w:r>
              <w:rPr>
                <w:b/>
                <w:bCs/>
                <w:szCs w:val="24"/>
              </w:rPr>
              <w:lastRenderedPageBreak/>
              <w:t>Подмярка 4.2 „Инвестиции в преработка/маркетинг на селскостопански продукти“</w:t>
            </w:r>
          </w:p>
          <w:p w:rsidR="00A1205A" w:rsidRDefault="009E0DC1">
            <w:pPr>
              <w:spacing w:before="240" w:after="240"/>
              <w:jc w:val="left"/>
              <w:rPr>
                <w:szCs w:val="24"/>
              </w:rPr>
            </w:pPr>
            <w:r>
              <w:rPr>
                <w:szCs w:val="24"/>
              </w:rPr>
              <w:t>Прилагането на подмярката стартира в края на 2015 г., като в рамките на периода на прием са постъпили 597 заявления за подпомагане със заявена от кандидатите финансова помощ в размер на 420,83 млн. евро. През календарната 2016 г. не е определян период на прием по подмярката, като акцент е поставен върху финализиране обработката на заявленията за подпомагане, постъпили в приема от 2015 г.</w:t>
            </w:r>
          </w:p>
          <w:p w:rsidR="00A1205A" w:rsidRDefault="009E0DC1">
            <w:pPr>
              <w:spacing w:before="240" w:after="240"/>
              <w:jc w:val="left"/>
              <w:rPr>
                <w:szCs w:val="24"/>
              </w:rPr>
            </w:pPr>
            <w:r>
              <w:rPr>
                <w:szCs w:val="24"/>
              </w:rPr>
              <w:t>Съществен момент във врзъка с прилагане на подмярката през 2016 г. е допълнение на критериите за оцнека, които са представени и гласувани от Комитета за наблюдение на ПРСР 2014-2020, които са:</w:t>
            </w:r>
          </w:p>
          <w:p w:rsidR="00A1205A" w:rsidRDefault="009E0DC1" w:rsidP="009E0DC1">
            <w:pPr>
              <w:numPr>
                <w:ilvl w:val="0"/>
                <w:numId w:val="23"/>
              </w:numPr>
              <w:spacing w:before="240" w:after="0"/>
              <w:ind w:hanging="210"/>
              <w:jc w:val="left"/>
              <w:rPr>
                <w:szCs w:val="24"/>
              </w:rPr>
            </w:pPr>
            <w:r>
              <w:rPr>
                <w:szCs w:val="24"/>
              </w:rPr>
              <w:t>Проекти на кандидати, които извършват селскостопанска дейност или преработка на селскостопански продукти от най-малко три години и не са получавали финансова помощ за сходна дейност</w:t>
            </w:r>
          </w:p>
          <w:p w:rsidR="00A1205A" w:rsidRDefault="009E0DC1" w:rsidP="009E0DC1">
            <w:pPr>
              <w:numPr>
                <w:ilvl w:val="0"/>
                <w:numId w:val="23"/>
              </w:numPr>
              <w:spacing w:before="0" w:after="240"/>
              <w:ind w:hanging="210"/>
              <w:jc w:val="left"/>
              <w:rPr>
                <w:szCs w:val="24"/>
              </w:rPr>
            </w:pPr>
            <w:r>
              <w:rPr>
                <w:szCs w:val="24"/>
              </w:rPr>
              <w:t>Проекти, насърчаващи интеграцията на земеделските производители и преработвателни предприятия с разширен достъп до пазари за произвежданата от тях продукция, включително експортна активност</w:t>
            </w:r>
          </w:p>
          <w:p w:rsidR="00A1205A" w:rsidRDefault="009E0DC1">
            <w:pPr>
              <w:spacing w:before="240" w:after="240"/>
              <w:jc w:val="left"/>
              <w:rPr>
                <w:szCs w:val="24"/>
              </w:rPr>
            </w:pPr>
            <w:r>
              <w:rPr>
                <w:szCs w:val="24"/>
              </w:rPr>
              <w:t>Включването на двата нови критерия за оценка в подмярката има за цел да насърчи кандидати преработващи селскостопанска продукция, които са съществуващи предприятия и са подържали определен брой персонал през последните години и не са финансирани за сходни дейности до момента. Също така се насърчава експортната ориентираност на праработените селскостопански продукти, като за база се взимат приходите от последните години реализирани от кандидатите от износ на преработени продукти.</w:t>
            </w:r>
          </w:p>
          <w:p w:rsidR="00A1205A" w:rsidRDefault="009E0DC1">
            <w:pPr>
              <w:spacing w:before="240" w:after="240"/>
              <w:jc w:val="left"/>
              <w:rPr>
                <w:szCs w:val="24"/>
              </w:rPr>
            </w:pPr>
            <w:r>
              <w:rPr>
                <w:szCs w:val="24"/>
              </w:rPr>
              <w:t>Тези критерии за оценка не са прилагани през 2016 г., тъй като през годината не е определен период на прием по подмярката. Вторият прием по подмярката е планиран за 2017 г., като се очаква в рамките на приема освен новите критерии за оценка да се приложат и новите финансови условия, одобрени след изменение на ПРСР /Трето изменение доборено на 22.02.2017 г./ и свързани с намалявена на максималният размер на разходите за едно проектно предложение.</w:t>
            </w:r>
          </w:p>
          <w:p w:rsidR="00A1205A" w:rsidRDefault="009E0DC1">
            <w:pPr>
              <w:spacing w:before="240" w:after="240"/>
              <w:jc w:val="left"/>
              <w:rPr>
                <w:szCs w:val="24"/>
              </w:rPr>
            </w:pPr>
            <w:r>
              <w:rPr>
                <w:szCs w:val="24"/>
              </w:rPr>
              <w:t>В рамките на определеният бюджет за периода на прием по подмярката от 2015 г. попадат заявленията за подпомагане получили до 55 точки включително, като в резултат на обработката на проектите и в съответствие с критериите за оценка общия размер на бюджета за прием е в размер до 180,79 млн. евро. Сключването на договори с одобрените кандидати стартира през месец юли 2016 г., като до края на 2016 г. са сключени общо 173 договора за финансова помощ в рамките на определения за приема бюджет.</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7 Постъпили заявления по подмярка 4.2 за подпомагане по години към 31.12.2016 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 xml:space="preserve">Както е отбелязано и в годишният доклад за 2015 г., в рамките на приема са постъпили  597 заявления за подпомагане с размер на заявените публични средства от 420.83 млн. евро. Този висок интерес от страна на кандидатите почти четири пъти над разполагаемия бюджет за приема обяснява и сравнително малкият брой сключени договори в размер на 29 % от всички подадени заявления за подпомагане. Анулирани за два договора с размер на финансовата помощ 2,9 млн. евро, а оттеглените по желание на кандидатите заявления са 9 на обща стойност 6 млн. евро. В резултат на </w:t>
            </w:r>
            <w:r>
              <w:rPr>
                <w:szCs w:val="24"/>
              </w:rPr>
              <w:lastRenderedPageBreak/>
              <w:t>извършените проверки са отхвърлени 16 заявления за подпомагане с финансова помощ от 10,79 млн. евро. Към края на 2016 г. не са сключени договори с всички кандидати, попадащи в рамките на определения бюджет, поради извършването на допълнителни проверки по заявленията за подпомагане.</w:t>
            </w:r>
          </w:p>
          <w:p w:rsidR="00A1205A" w:rsidRDefault="009E0DC1">
            <w:pPr>
              <w:spacing w:before="240" w:after="240"/>
              <w:jc w:val="left"/>
              <w:rPr>
                <w:szCs w:val="24"/>
              </w:rPr>
            </w:pPr>
            <w:r>
              <w:rPr>
                <w:szCs w:val="24"/>
              </w:rPr>
              <w:t>Сключването на договори по подмярката продължава и през 2017 г. до размера на определения за приема бюджет, като остатъчния бъджет към края на 2016 г. възлиза на около 58 млн. евро.</w:t>
            </w:r>
          </w:p>
          <w:p w:rsidR="00A1205A" w:rsidRDefault="009E0DC1">
            <w:pPr>
              <w:spacing w:before="240" w:after="240"/>
              <w:jc w:val="left"/>
              <w:rPr>
                <w:szCs w:val="24"/>
              </w:rPr>
            </w:pPr>
            <w:r>
              <w:rPr>
                <w:szCs w:val="24"/>
              </w:rPr>
              <w:t>Средният размер на одобрената финансова помощ по сключените договори е 705 хил. евро. От прегледа на сключените договори през 2016 г. се вижда, че 24 от проектите се изпълняват на територията на Северозападен район, което е в съответствие с един от хоризонталните прироритети залегнали в ПРСР и Споразумението за партньорство. Одобрената финансова помощ по тези проекти е в размер на 15 млн. евро.</w:t>
            </w:r>
          </w:p>
          <w:p w:rsidR="00A1205A" w:rsidRDefault="009E0DC1">
            <w:pPr>
              <w:spacing w:before="240" w:after="240"/>
              <w:jc w:val="left"/>
              <w:rPr>
                <w:szCs w:val="24"/>
              </w:rPr>
            </w:pPr>
            <w:r>
              <w:rPr>
                <w:szCs w:val="24"/>
              </w:rPr>
              <w:t>От всички сключени договори през 2016 г. проектите с включени инвестиции за въвеждане на нови и енергоспестяващи технологии и иновации в преработвателната промишленост са общо с размер на одобрената финансова помощ 7,8 млн. евро. Проектите за преработка на биологични суровини и производство на биологични продукти са 24, а одобрената финансова помощ по тях възлиза на 13,27 млн. евро.</w:t>
            </w:r>
          </w:p>
          <w:p w:rsidR="00A1205A" w:rsidRDefault="009E0DC1">
            <w:pPr>
              <w:spacing w:before="240" w:after="240"/>
              <w:jc w:val="left"/>
              <w:rPr>
                <w:szCs w:val="24"/>
              </w:rPr>
            </w:pPr>
            <w:r>
              <w:rPr>
                <w:szCs w:val="24"/>
              </w:rPr>
              <w:t>Проектите с инвестиции за насърчаване на кооперирането и интеграцията между земеделските стопани и предприятия от преработвателната промишленост са 68, а одобрения размер на финансовата помощ е 42,75 млн. евро.</w:t>
            </w:r>
          </w:p>
          <w:p w:rsidR="00A1205A" w:rsidRDefault="009E0DC1">
            <w:pPr>
              <w:spacing w:before="240" w:after="240"/>
              <w:jc w:val="left"/>
              <w:rPr>
                <w:szCs w:val="24"/>
              </w:rPr>
            </w:pPr>
            <w:r>
              <w:rPr>
                <w:szCs w:val="24"/>
              </w:rPr>
              <w:t>На база сключените договори през 2016 г., се наблюдава превес на проектите в сектор „плодове и зеленчуци” /42%/, за преработка на животински продукти са одобрени 39 % от проектните предложения, а за преработка на етерично маслени  култури са 16 % от сключените договори.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8 Изплатена финансова помощ по подмярка 4.2 по години към 31.12.2016 г.</w:t>
            </w:r>
          </w:p>
          <w:p w:rsidR="00A1205A" w:rsidRDefault="009E0DC1">
            <w:pPr>
              <w:spacing w:before="240" w:after="240"/>
              <w:jc w:val="left"/>
              <w:rPr>
                <w:szCs w:val="24"/>
              </w:rPr>
            </w:pPr>
            <w:r>
              <w:rPr>
                <w:szCs w:val="24"/>
              </w:rPr>
              <w:t>В рамките на 2016 г. няма приключени проекти, по които да е извършено окончателно плащане. Изплатената финансова помощ е в размер на 2,6 млн. евро по девет заявки за плащане.</w:t>
            </w:r>
          </w:p>
          <w:p w:rsidR="00A1205A" w:rsidRDefault="009E0DC1">
            <w:pPr>
              <w:spacing w:before="240" w:after="240"/>
              <w:jc w:val="left"/>
              <w:rPr>
                <w:szCs w:val="24"/>
              </w:rPr>
            </w:pPr>
            <w:r>
              <w:rPr>
                <w:szCs w:val="24"/>
              </w:rPr>
              <w:t>Въпреки, че към края на 2016 г. по подмярката няма завършени проекти, не може да не се отчете изключително високият интерес от страна на кандидатите за изпълнение на проекти, свързани с преработка на селскостопански продукти.</w:t>
            </w:r>
          </w:p>
          <w:p w:rsidR="00A1205A" w:rsidRDefault="009E0DC1">
            <w:pPr>
              <w:spacing w:before="240" w:after="240"/>
              <w:jc w:val="left"/>
              <w:rPr>
                <w:szCs w:val="24"/>
              </w:rPr>
            </w:pPr>
            <w:r>
              <w:rPr>
                <w:szCs w:val="24"/>
              </w:rPr>
              <w:t>Наблюдава се засилен интерес не само от преработвателни предприятия, но и от земеделски стопани, което е показателно, че стремежът им е да предлагат на пазара продукти с добавена стойност, а не суровини.</w:t>
            </w:r>
          </w:p>
          <w:p w:rsidR="00A1205A" w:rsidRDefault="009E0DC1">
            <w:pPr>
              <w:spacing w:before="240" w:after="240"/>
              <w:jc w:val="left"/>
              <w:rPr>
                <w:szCs w:val="24"/>
              </w:rPr>
            </w:pPr>
            <w:r>
              <w:rPr>
                <w:szCs w:val="24"/>
              </w:rPr>
              <w:t>Прави впечатление, че към 2016 г. малка част от проектите имат заложени инвестиции в иновации и енергоспестяващи технологии, които биха били гаранция за по – висока производителност при по – ниска себестойност, като преобладаващата част от сключените договори са насочени към област на въздействие „3А“, свързана с подобряване на конкурентоспособността на първичните производители чрез по-доброто им интегриране в хранителната верига чрез добавяне на стойност към селскостопанки продукти.</w:t>
            </w:r>
          </w:p>
          <w:p w:rsidR="00A1205A" w:rsidRDefault="009E0DC1">
            <w:pPr>
              <w:spacing w:before="240" w:after="240"/>
              <w:jc w:val="left"/>
              <w:rPr>
                <w:szCs w:val="24"/>
              </w:rPr>
            </w:pPr>
            <w:r>
              <w:rPr>
                <w:szCs w:val="24"/>
              </w:rPr>
              <w:lastRenderedPageBreak/>
              <w:t>През 2017 г. трябва да се обърне особено внимание по отношение прилагането на мярката, свързано с финализиране сключването на договори по прием 2015 г. и планиране и определяне на нови периоди на прием при оптимални срокове за обработка на заявленията за подпомагане с цел осигуряване на достатъчно време за тяхното изпълнение и регулярното им финализиране в следващите години.</w:t>
            </w:r>
          </w:p>
          <w:p w:rsidR="00A1205A" w:rsidRDefault="009E0DC1">
            <w:pPr>
              <w:spacing w:before="240" w:after="240"/>
              <w:jc w:val="left"/>
              <w:rPr>
                <w:szCs w:val="24"/>
              </w:rPr>
            </w:pPr>
            <w:r>
              <w:rPr>
                <w:szCs w:val="24"/>
              </w:rPr>
              <w:t>Също така би трябвало да се анализират резултатите от първия период на прием /за подмярка 4.2/ по отношение на интереса и нуждите на кандидатите за изпълнение на различни инвестици и дисбаланса, които се формира между обема проекти, които допринасят за отделните фокус области, въздействие върху, които оказва подмярката. С цел да се отговори в по – голяма степен на нуждите и очакванията на кандидатите за инвестиционна подкрепа през 2016 г. са предприети стъпки към намаляване на максималният размер на разходите за проектните предложения и прецизиране на критериите за оценка чрез одобрение от страна на Комитета за наблюдение на ПРСР. Променените параметри на мярката са одобрени от ЕК в началото на 2017 г. Направените изменения в дизайна на подмярка 4.2 целят да повишат добавената стойност в преработвателния сектор и да постигнат заложените индикатори. Въпреки,че направените промени са в  положителна посока, остава риск от неизпълнение на междинните цели по приоритет 3, както и риск от недостигане на заложения индикатор в ПРСР за брой подпомогнати операции за преработка и маркетинг на земеделски продукти. Този риск се дължи на определянето на недостатъчен финансов ресурс за постигане на заложения индикатор.</w:t>
            </w:r>
          </w:p>
          <w:p w:rsidR="00A1205A" w:rsidRDefault="009E0DC1">
            <w:pPr>
              <w:spacing w:before="240" w:after="240"/>
              <w:jc w:val="left"/>
              <w:rPr>
                <w:szCs w:val="24"/>
              </w:rPr>
            </w:pPr>
            <w:r>
              <w:rPr>
                <w:szCs w:val="24"/>
              </w:rPr>
              <w:t>Прилагането на подмярката през 2017 г. при новите условия и очаквания на бъдещите кандидати, предполага и осигуряването на допълнителен финансов ресурс, като това може да стане чрез пренасочване на средства от други мерки/подмерки, планирани за изпълнение в програмния период, по които са налице индикации, че съществува риск за тяхното навременно прилагане.</w:t>
            </w:r>
          </w:p>
          <w:p w:rsidR="00A1205A" w:rsidRDefault="009E0DC1">
            <w:pPr>
              <w:spacing w:before="240" w:after="240"/>
              <w:jc w:val="left"/>
              <w:rPr>
                <w:szCs w:val="24"/>
              </w:rPr>
            </w:pPr>
            <w:r>
              <w:rPr>
                <w:szCs w:val="24"/>
              </w:rPr>
              <w:t>Може да се направи анализ и за по-оптимално разходване на средствата от бюджета на мярка 4 и насочването му към инвестиции, свързани с преработка на селскостопански продукти.</w:t>
            </w:r>
          </w:p>
          <w:p w:rsidR="00A1205A" w:rsidRDefault="009E0DC1">
            <w:pPr>
              <w:spacing w:before="240" w:after="240"/>
              <w:jc w:val="left"/>
              <w:rPr>
                <w:szCs w:val="24"/>
              </w:rPr>
            </w:pPr>
            <w:r>
              <w:rPr>
                <w:szCs w:val="24"/>
              </w:rPr>
              <w:t>Навременното осигуряване на средства от други мерки/ подмерки трябва да бъде съобразено с характера на проектите по подмярката, които в по – голямата си част включват строително монтажни работи, което налага и по – дълги срокове за изпълнение, които при договори сключени през 2016 г. и 2017 г. предполагат изпълнеине и разплащане на средствата в края на 2019 г. и 2020 г.</w:t>
            </w:r>
          </w:p>
          <w:p w:rsidR="00A1205A" w:rsidRDefault="009E0DC1">
            <w:pPr>
              <w:spacing w:before="240" w:after="240"/>
              <w:jc w:val="left"/>
              <w:rPr>
                <w:szCs w:val="24"/>
              </w:rPr>
            </w:pPr>
            <w:r>
              <w:rPr>
                <w:b/>
                <w:bCs/>
                <w:szCs w:val="24"/>
              </w:rPr>
              <w:t>Подмярка 6.1 „Стартова помощ за млади земеделски стопани”</w:t>
            </w:r>
          </w:p>
          <w:p w:rsidR="00A1205A" w:rsidRDefault="009E0DC1">
            <w:pPr>
              <w:spacing w:before="240" w:after="240"/>
              <w:jc w:val="left"/>
              <w:rPr>
                <w:szCs w:val="24"/>
              </w:rPr>
            </w:pPr>
            <w:r>
              <w:rPr>
                <w:szCs w:val="24"/>
              </w:rPr>
              <w:t>Прилагането на подмярката стартира през 2015 г., а сключването на договори по одобрените заявления за подпомагане започва в началото на 2016 г. В рамките на година са сключени 1 542 договора за финансова помощ с размер на разходите 38,5 млн. евро.</w:t>
            </w:r>
          </w:p>
          <w:p w:rsidR="00A1205A" w:rsidRDefault="009E0DC1">
            <w:pPr>
              <w:spacing w:before="240" w:after="240"/>
              <w:jc w:val="left"/>
              <w:rPr>
                <w:szCs w:val="24"/>
              </w:rPr>
            </w:pPr>
            <w:r>
              <w:rPr>
                <w:szCs w:val="24"/>
              </w:rPr>
              <w:t>Следвайки принципа на децентрализация и с цел улеснение за земеделските стопани и намаляване на административната тежест прилагането на подмярката е разпределено в 28 областни дирекции на Разплащателната агенция.</w:t>
            </w:r>
          </w:p>
          <w:p w:rsidR="00A1205A" w:rsidRDefault="009E0DC1">
            <w:pPr>
              <w:spacing w:before="240" w:after="240"/>
              <w:jc w:val="left"/>
              <w:rPr>
                <w:szCs w:val="24"/>
              </w:rPr>
            </w:pPr>
            <w:r>
              <w:rPr>
                <w:szCs w:val="24"/>
              </w:rPr>
              <w:t>През годината е изплатена и финансовата помощ на одобрени кандидати по помярка 112 от ПРСР 2007-2013.</w:t>
            </w:r>
          </w:p>
          <w:p w:rsidR="00A1205A" w:rsidRDefault="009E0DC1">
            <w:pPr>
              <w:spacing w:before="240" w:after="240"/>
              <w:jc w:val="left"/>
              <w:rPr>
                <w:szCs w:val="24"/>
              </w:rPr>
            </w:pPr>
            <w:r>
              <w:rPr>
                <w:b/>
                <w:bCs/>
                <w:szCs w:val="24"/>
              </w:rPr>
              <w:t>Таблица № 9 Постъпили заявления по подмярка 6.1 за подпомагане по години към 31.12.2016 г.</w:t>
            </w:r>
          </w:p>
          <w:p w:rsidR="00A1205A" w:rsidRDefault="009E0DC1">
            <w:pPr>
              <w:spacing w:before="240" w:after="240"/>
              <w:jc w:val="left"/>
              <w:rPr>
                <w:szCs w:val="24"/>
              </w:rPr>
            </w:pPr>
            <w:r>
              <w:rPr>
                <w:szCs w:val="24"/>
              </w:rPr>
              <w:lastRenderedPageBreak/>
              <w:t> </w:t>
            </w:r>
          </w:p>
          <w:p w:rsidR="00A1205A" w:rsidRDefault="009E0DC1">
            <w:pPr>
              <w:spacing w:before="240" w:after="240"/>
              <w:jc w:val="left"/>
              <w:rPr>
                <w:szCs w:val="24"/>
              </w:rPr>
            </w:pPr>
            <w:r>
              <w:rPr>
                <w:szCs w:val="24"/>
              </w:rPr>
              <w:t>Характерният свръх интерес от страна на кандидатите по различните мерки от програмата се наблюдава и по подмярка 6.1. За разлика от подмерки 4.1 и 4.2, по подмярката са одобрени повече от половината подадени заявления за подпомагане или 58 %.</w:t>
            </w:r>
          </w:p>
          <w:p w:rsidR="00A1205A" w:rsidRDefault="009E0DC1">
            <w:pPr>
              <w:spacing w:before="240" w:after="240"/>
              <w:jc w:val="left"/>
              <w:rPr>
                <w:szCs w:val="24"/>
              </w:rPr>
            </w:pPr>
            <w:r>
              <w:rPr>
                <w:szCs w:val="24"/>
              </w:rPr>
              <w:t>През годината са анулирани 7 договора, а оттеглените заявления за подпомагане от кандидатите са 144. На база извършените проверки са отхвърлени 275 заявления за подпомагане.</w:t>
            </w:r>
          </w:p>
          <w:p w:rsidR="00A1205A" w:rsidRDefault="009E0DC1">
            <w:pPr>
              <w:spacing w:before="240" w:after="240"/>
              <w:jc w:val="left"/>
              <w:rPr>
                <w:szCs w:val="24"/>
              </w:rPr>
            </w:pPr>
            <w:r>
              <w:rPr>
                <w:b/>
                <w:bCs/>
                <w:szCs w:val="24"/>
              </w:rPr>
              <w:t>Таблица № 10 Изплатена финансова помощ по подмярка 6.1  по години към 31.12.2016 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През 2016 г. са извършени първите плащания по сключените договори с млади земеделски стопани. Първо плащане са получили 1 512 млади земеделски стопани с обща изплатена финансова помощ в размер на 18,89 млн. евро. На база одобрените договори второ плащане се очаква да бъдат извършено през 2018 г. и 2019 г., което ще позволи да се направи анализ на изпълнението на подмярката и приноса и към фокус област 2Б.</w:t>
            </w:r>
          </w:p>
          <w:p w:rsidR="00A1205A" w:rsidRDefault="009E0DC1">
            <w:pPr>
              <w:spacing w:before="240" w:after="240"/>
              <w:jc w:val="left"/>
              <w:rPr>
                <w:szCs w:val="24"/>
              </w:rPr>
            </w:pPr>
            <w:r>
              <w:rPr>
                <w:szCs w:val="24"/>
              </w:rPr>
              <w:t>През 2016 г. от бюджета на ПРСР 2014-2020 са извършени и втори плащания към млади земеделски стопани, изпълняващи ангажименти по мярка 112 от ПРСР 2007-2013., като разплатени 11,6 млн. евро по 953 заявки за плащане.</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11 Постъпили заявления за подпомагане по подмярка 4.1. по сектори към 31.12.2016 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Отчитайки етапа на прилагане на подмярката и липсата на завършени проекти с изплатено второ плащане, не могат да бъдат направени задълбочени изводи по отношение изпълнението на заложените показатели в ПРСР 2014-2020. Въпреки това на база данните от сключените договори, по които е ангажиран половината от бюджета по подмярката за целия програмен период, може да се прогнозира постигане на заложените показатели във фокус област 2В. От друга страна на база секторното разпределение на сключените договори не е налице голям дисбаланс между сектор „животновъдство” и сектор „растениевъдство”, въпреки че 47 % от проектитте са насочени към сектор „плодове и зеленчуци”.</w:t>
            </w:r>
          </w:p>
          <w:p w:rsidR="00A1205A" w:rsidRDefault="009E0DC1">
            <w:pPr>
              <w:spacing w:before="240" w:after="240"/>
              <w:jc w:val="left"/>
              <w:rPr>
                <w:szCs w:val="24"/>
              </w:rPr>
            </w:pPr>
            <w:r>
              <w:rPr>
                <w:szCs w:val="24"/>
              </w:rPr>
              <w:t>Важен елемент за прилагане на мярката е наличието на подходящо образование на одобрените млади земеделски стопани, но на база сключените през 2016 г. договори става ясно, че едва около 18 % от одобрените стопани притежвата такова образовние към момента на кандидатстване със своите проекти. Като цяло по – висок е делът на одобрените млади земеделски стопани с подходящо образование, чийто проекти се изпълняват в сектор „плодове и зеленчуци”.</w:t>
            </w:r>
          </w:p>
          <w:p w:rsidR="00A1205A" w:rsidRDefault="009E0DC1">
            <w:pPr>
              <w:spacing w:before="240" w:after="240"/>
              <w:jc w:val="left"/>
              <w:rPr>
                <w:szCs w:val="24"/>
              </w:rPr>
            </w:pPr>
            <w:r>
              <w:rPr>
                <w:szCs w:val="24"/>
              </w:rPr>
              <w:t>Повечето одобрени проекти на млади земеделски стопани са свързани със селскостопанско производство в преход към биологично производство /над 60%/. В около 90 % от одобрените стопанства на млади земеделски стопани пък се предвижда наемането на допълнителна работна ръка, необходима при развитието на стопанството.</w:t>
            </w:r>
          </w:p>
          <w:p w:rsidR="00A1205A" w:rsidRDefault="009E0DC1">
            <w:pPr>
              <w:spacing w:before="240" w:after="240"/>
              <w:jc w:val="left"/>
              <w:rPr>
                <w:szCs w:val="24"/>
              </w:rPr>
            </w:pPr>
            <w:r>
              <w:rPr>
                <w:szCs w:val="24"/>
              </w:rPr>
              <w:t xml:space="preserve">Запазва се тенденцията от периода 2007-2013 за висок интерес от страна на младите земеделски </w:t>
            </w:r>
            <w:r>
              <w:rPr>
                <w:szCs w:val="24"/>
              </w:rPr>
              <w:lastRenderedPageBreak/>
              <w:t>стопани към подпомагане по мярката. Отново ключова роля за прилагане на подмярката играе мярка 2 от ПРСР 2014-2020, която практически осигурява безплатна консултанска помощ при подготовка на документите за кандидатстване.</w:t>
            </w:r>
          </w:p>
          <w:p w:rsidR="00A1205A" w:rsidRDefault="009E0DC1">
            <w:pPr>
              <w:spacing w:before="240" w:after="240"/>
              <w:jc w:val="left"/>
              <w:rPr>
                <w:szCs w:val="24"/>
              </w:rPr>
            </w:pPr>
            <w:r>
              <w:rPr>
                <w:szCs w:val="24"/>
              </w:rPr>
              <w:t>В процеса на изпълнение на проектите е необходимо да се направи анализ до каква степен земеделските стопани се адаптират към правилата и изискванията на ПРСР 2014-2020.</w:t>
            </w:r>
          </w:p>
          <w:p w:rsidR="00A1205A" w:rsidRDefault="009E0DC1">
            <w:pPr>
              <w:spacing w:before="240" w:after="240"/>
              <w:jc w:val="left"/>
              <w:rPr>
                <w:szCs w:val="24"/>
              </w:rPr>
            </w:pPr>
            <w:r>
              <w:rPr>
                <w:szCs w:val="24"/>
              </w:rPr>
              <w:t>Също така е необходимо да се обърне внимание на квалификацията на земеделските стопани и наличието на подходящо образование, свързано с подпомаганите дейности, особено за тези, които не притежават такова към момента на своето кандидатстване с цел осигуряване на възможност за обучение в различни курсове чрез механизмите на ПРСР.</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Подмярка 6.3 „Стартова помощ за развитието на малки стопанства”</w:t>
            </w:r>
          </w:p>
          <w:p w:rsidR="00A1205A" w:rsidRDefault="009E0DC1">
            <w:pPr>
              <w:spacing w:before="240" w:after="240"/>
              <w:jc w:val="left"/>
              <w:rPr>
                <w:szCs w:val="24"/>
              </w:rPr>
            </w:pPr>
            <w:r>
              <w:rPr>
                <w:szCs w:val="24"/>
              </w:rPr>
              <w:t>Прилагането на подмярката стартира през 2016 г., като е определен прием от 04.07.2016 г. до 12.08.2016 г. с размер на финансовата помощ 30 млн. евро.</w:t>
            </w:r>
          </w:p>
          <w:p w:rsidR="00A1205A" w:rsidRDefault="009E0DC1">
            <w:pPr>
              <w:spacing w:before="240" w:after="240"/>
              <w:jc w:val="left"/>
              <w:rPr>
                <w:szCs w:val="24"/>
              </w:rPr>
            </w:pPr>
            <w:r>
              <w:rPr>
                <w:szCs w:val="24"/>
              </w:rPr>
              <w:t>Това е първият целенасочен прием за малки стопанства в ПРСР 2014-2020, като по този начин се стартира и реалното прилагане на специално разработената Тематична подпрограма за малки стопанства за територията на страната. С цел улеснение за земеделските стопани и намаляване на административната тежест по подобие на подмярка 6.1 прилагането на подмярката е децентрализирано в 28 областни дирекции на Разплащателната агенция.</w:t>
            </w:r>
          </w:p>
          <w:p w:rsidR="00A1205A" w:rsidRDefault="009E0DC1">
            <w:pPr>
              <w:spacing w:before="240" w:after="240"/>
              <w:jc w:val="left"/>
              <w:rPr>
                <w:szCs w:val="24"/>
              </w:rPr>
            </w:pPr>
            <w:r>
              <w:rPr>
                <w:szCs w:val="24"/>
              </w:rPr>
              <w:t>Очаквано, интересът от страна на малките земеделски стопани към този тип подпомагане е изключително висок, принос за което има и осигурената възможност тези стопани да получават безплатна консултантска помощ по различни пакети, включително за разработване на бизнес план и заявление за подпомагане. Тези безплатни консултация се предоставят от страна на НССЗ  в рамките на мярка 2 от ПРСР 2014-2020.</w:t>
            </w:r>
          </w:p>
          <w:p w:rsidR="00A1205A" w:rsidRDefault="009E0DC1">
            <w:pPr>
              <w:spacing w:before="240" w:after="240"/>
              <w:jc w:val="left"/>
              <w:rPr>
                <w:szCs w:val="24"/>
              </w:rPr>
            </w:pPr>
            <w:r>
              <w:rPr>
                <w:szCs w:val="24"/>
              </w:rPr>
              <w:t>През 2016 г. в рамките на определения бюджет по Тематичната подпрограма е осигурено и изплащането на средствата по годишните ангажименти по подмярка 141 от ПРСР 2007-2013.</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12 Постъпили заявления по подмярка 6.3 за подпомагане по години към 31.12.2016 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През 2016 г. от всички 3 815 заявления за подпомагане са одобрени едва 3 с размер на одобрената финансова помощ в размер на 0,045 млн. евро. Въпреки децентрализираният подход на прием и обработка на заявленията за подпомагане се наблюдава забавяне в процеса по обработка на заявленията, което трябва да се анализира преди определяне на бъдещи периоди на прием и да бъдат предприети действия за спазване нормативно определените срокове.</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Таблица № 10 Изплатена финансова помощ по подмярка 6.3  по години към 31.12.2016 г.</w:t>
            </w:r>
          </w:p>
          <w:p w:rsidR="00A1205A" w:rsidRDefault="009E0DC1">
            <w:pPr>
              <w:spacing w:before="240" w:after="240"/>
              <w:jc w:val="left"/>
              <w:rPr>
                <w:szCs w:val="24"/>
              </w:rPr>
            </w:pPr>
            <w:r>
              <w:rPr>
                <w:szCs w:val="24"/>
              </w:rPr>
              <w:lastRenderedPageBreak/>
              <w:t>По подмярка 6.3 през 2016 г. е изплатена финансова помощ на 3 малки стопанства. В същото време по поети ангажименти по мярка 141 от ПРСР 2007-2013 са изплатени 3 598 заявки за плащане с изплатена финансова помощ в размер на 5,37 млн. евро, пето плащане са получили 1 763 полупазарни стопанства с изплатена финансова помощ в размер на 2,62 млн. евро.</w:t>
            </w:r>
          </w:p>
          <w:p w:rsidR="00A1205A" w:rsidRDefault="009E0DC1">
            <w:pPr>
              <w:spacing w:before="240" w:after="240"/>
              <w:jc w:val="left"/>
              <w:rPr>
                <w:szCs w:val="24"/>
              </w:rPr>
            </w:pPr>
            <w:r>
              <w:rPr>
                <w:b/>
                <w:bCs/>
                <w:szCs w:val="24"/>
              </w:rPr>
              <w:t>Подмярка 7.6 „Проучвания и инвестиции, свързани с поддържане, възстановяване и поодбрявнае на културното и природно наследство на селата“ от мярка 7 „Основни услуги и обновяване на селата в селските райони“</w:t>
            </w:r>
          </w:p>
          <w:p w:rsidR="00A1205A" w:rsidRDefault="009E0DC1">
            <w:pPr>
              <w:spacing w:before="240" w:after="240"/>
              <w:jc w:val="left"/>
              <w:rPr>
                <w:szCs w:val="24"/>
              </w:rPr>
            </w:pPr>
            <w:r>
              <w:rPr>
                <w:szCs w:val="24"/>
              </w:rPr>
              <w:t>Прилагането на подмярка 7.6 стартира през 2016 г. На 11 март 2016 г. е проведено четвърто заседание на Комитета по наблюдение на ПРСР, в рамките на което след обстойна дискусия на предложение от страна на УО са одобрени критерии за подбор на проекти и тяхната тежест по подмярката, включително е определен минимален брой точки като условие за допустимост на проектите а именно 5 точки.</w:t>
            </w:r>
          </w:p>
          <w:p w:rsidR="00A1205A" w:rsidRDefault="009E0DC1">
            <w:pPr>
              <w:spacing w:before="240" w:after="240"/>
              <w:jc w:val="left"/>
              <w:rPr>
                <w:szCs w:val="24"/>
              </w:rPr>
            </w:pPr>
            <w:r>
              <w:rPr>
                <w:szCs w:val="24"/>
              </w:rPr>
              <w:t>След проведено обществено обсъждане със заинтересовани страни е разработена Наредба № 6 от 28 март 2016 г., която урежда реда и условията за прилагане на подмярката. На основание издадената наредба е определен прием на заявления за предоставяне на финансова помощ в периода 9 май – 3 юни 2016 г. В рамките на периода на прием е определен разполагаем бюджет в размер на левовата равностойност на 25 000 000 евро. През периода на прием е предвидена възможност бюджетът да бъде увеличен с цел финансиране на заявления, получили еднакъв брой точки съгласно критериите за оценка за които е наличен частичен разполагаем бюджет в съответствие с правилата, заложени в наредбата.</w:t>
            </w:r>
          </w:p>
          <w:p w:rsidR="00A1205A" w:rsidRDefault="009E0DC1">
            <w:pPr>
              <w:spacing w:before="240" w:after="240"/>
              <w:jc w:val="left"/>
              <w:rPr>
                <w:szCs w:val="24"/>
              </w:rPr>
            </w:pPr>
            <w:r>
              <w:rPr>
                <w:szCs w:val="24"/>
              </w:rPr>
              <w:t>В периода на прием са постъпили общо 348 заявления за предоставяне на финансова помощ с общ размер на заявените инвестиции от 107 246 332 евро. Видно от заявените разходи, респективно размера на финансовата помощ по съответните заявления, финансовия ресурс, определен в периода на прием е достатъчен за финансиране на приблизително ¼ от подадените проектни предложения.</w:t>
            </w:r>
          </w:p>
          <w:p w:rsidR="00A1205A" w:rsidRDefault="009E0DC1">
            <w:pPr>
              <w:spacing w:before="240" w:after="240"/>
              <w:jc w:val="left"/>
              <w:rPr>
                <w:szCs w:val="24"/>
              </w:rPr>
            </w:pPr>
            <w:r>
              <w:rPr>
                <w:szCs w:val="24"/>
              </w:rPr>
              <w:t>След разглеждане на постъпилите заявления през месец август 2016 г. е финализирано предварителното класиране на проектните предложения въз основа на критериите за подбор в наредбата в резултат на което ДФ „Земеделие“ обявява, че на по-нататъчна обработка подлежат 96 проекта, заявената финансова помощ по които представлява 126 % от определения бюджет по проведения прием.</w:t>
            </w:r>
          </w:p>
          <w:p w:rsidR="00A1205A" w:rsidRDefault="009E0DC1">
            <w:pPr>
              <w:spacing w:before="240" w:after="240"/>
              <w:jc w:val="left"/>
              <w:rPr>
                <w:szCs w:val="24"/>
              </w:rPr>
            </w:pPr>
            <w:r>
              <w:rPr>
                <w:szCs w:val="24"/>
              </w:rPr>
              <w:t>Към 31 декември 2016 г. заявленията за подпомагане по подмярка 7.6 са процес на обработка като не са сключени договори за предоставяне на финансова помощ.  Едно от подадените заявления за подпомагане е оттеглено от страна на кандидата.</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w:t>
            </w:r>
          </w:p>
          <w:p w:rsidR="00A1205A" w:rsidRDefault="009E0DC1">
            <w:pPr>
              <w:spacing w:before="240" w:after="240"/>
              <w:jc w:val="left"/>
              <w:rPr>
                <w:szCs w:val="24"/>
              </w:rPr>
            </w:pPr>
            <w:r>
              <w:rPr>
                <w:szCs w:val="24"/>
              </w:rPr>
              <w:t xml:space="preserve">През 2016 г. стартира прилагането и на очакваната с интерес подмярка 7.2 „Инвестиции в създаването, подобряването или разширяването на всички видове малка по мащаби инфраструктура“. На 5 юли 2016 г. е проведено пето заседание на КН на ПРСР в рамките на което от страна на УО на ПРСР са предложени критерии за подбор на проекти по подмярка 7.2. Предложените критерии предвиждат класиране на проектни предложения в зависимост от вида на </w:t>
            </w:r>
            <w:r>
              <w:rPr>
                <w:szCs w:val="24"/>
              </w:rPr>
              <w:lastRenderedPageBreak/>
              <w:t>включените инвестициите а и именно:</w:t>
            </w:r>
          </w:p>
          <w:p w:rsidR="00A1205A" w:rsidRDefault="009E0DC1" w:rsidP="009E0DC1">
            <w:pPr>
              <w:numPr>
                <w:ilvl w:val="0"/>
                <w:numId w:val="24"/>
              </w:numPr>
              <w:spacing w:before="240" w:after="0"/>
              <w:ind w:hanging="280"/>
              <w:jc w:val="left"/>
              <w:rPr>
                <w:szCs w:val="24"/>
              </w:rPr>
            </w:pPr>
            <w:r>
              <w:rPr>
                <w:szCs w:val="24"/>
              </w:rPr>
              <w:t>проектни предложения с включени инвестиции за строителство, реконструкция и/или рехабилитация на нови и съществуващи общински пътища и съоръженията и принадлежностите към тях;</w:t>
            </w:r>
          </w:p>
          <w:p w:rsidR="00A1205A" w:rsidRDefault="009E0DC1" w:rsidP="009E0DC1">
            <w:pPr>
              <w:numPr>
                <w:ilvl w:val="0"/>
                <w:numId w:val="24"/>
              </w:numPr>
              <w:spacing w:before="0" w:after="0"/>
              <w:ind w:hanging="280"/>
              <w:jc w:val="left"/>
              <w:rPr>
                <w:szCs w:val="24"/>
              </w:rPr>
            </w:pPr>
            <w:r>
              <w:rPr>
                <w:szCs w:val="24"/>
              </w:rPr>
              <w:t>проектни предложения с включени инвестиции за строителство, реконструкция и/или рехабилитация на нови и съществуващи улици, тротоари, и съоръженията и принадлежностите към тях;</w:t>
            </w:r>
          </w:p>
          <w:p w:rsidR="00A1205A" w:rsidRDefault="009E0DC1" w:rsidP="009E0DC1">
            <w:pPr>
              <w:numPr>
                <w:ilvl w:val="0"/>
                <w:numId w:val="24"/>
              </w:numPr>
              <w:spacing w:before="0" w:after="0"/>
              <w:ind w:hanging="280"/>
              <w:jc w:val="left"/>
              <w:rPr>
                <w:szCs w:val="24"/>
              </w:rPr>
            </w:pPr>
            <w:r>
              <w:rPr>
                <w:szCs w:val="24"/>
              </w:rPr>
              <w:t>проектни предложения с включени инвестиции за изграждане, реконструкция и/или рехабилитация на водоснабдителни системи и съоръжения в агломерации с под 2 000 е.ж. в селските райони;</w:t>
            </w:r>
          </w:p>
          <w:p w:rsidR="00A1205A" w:rsidRDefault="009E0DC1" w:rsidP="009E0DC1">
            <w:pPr>
              <w:numPr>
                <w:ilvl w:val="0"/>
                <w:numId w:val="24"/>
              </w:numPr>
              <w:spacing w:before="0" w:after="0"/>
              <w:ind w:hanging="280"/>
              <w:jc w:val="left"/>
              <w:rPr>
                <w:szCs w:val="24"/>
              </w:rPr>
            </w:pPr>
            <w:r>
              <w:rPr>
                <w:szCs w:val="24"/>
              </w:rPr>
              <w:t>проектни предложения с включени инвестиции за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rsidR="00A1205A" w:rsidRDefault="009E0DC1" w:rsidP="009E0DC1">
            <w:pPr>
              <w:numPr>
                <w:ilvl w:val="0"/>
                <w:numId w:val="24"/>
              </w:numPr>
              <w:spacing w:before="0" w:after="0"/>
              <w:ind w:hanging="280"/>
              <w:jc w:val="left"/>
              <w:rPr>
                <w:szCs w:val="24"/>
              </w:rPr>
            </w:pPr>
            <w:r>
              <w:rPr>
                <w:szCs w:val="24"/>
              </w:rPr>
              <w:t>проектни предложения с включени инвестиции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rsidR="00A1205A" w:rsidRDefault="009E0DC1" w:rsidP="009E0DC1">
            <w:pPr>
              <w:numPr>
                <w:ilvl w:val="0"/>
                <w:numId w:val="24"/>
              </w:numPr>
              <w:spacing w:before="0" w:after="0"/>
              <w:ind w:hanging="280"/>
              <w:jc w:val="left"/>
              <w:rPr>
                <w:szCs w:val="24"/>
              </w:rPr>
            </w:pPr>
            <w:r>
              <w:rPr>
                <w:szCs w:val="24"/>
              </w:rPr>
              <w:t>проектни предложения с включени инвестиции за реконструкция, ремонт, оборудване и/или обзавеждане на общинска образователна инфраструктура с местно значение в селските райони;</w:t>
            </w:r>
          </w:p>
          <w:p w:rsidR="00A1205A" w:rsidRDefault="009E0DC1" w:rsidP="009E0DC1">
            <w:pPr>
              <w:numPr>
                <w:ilvl w:val="0"/>
                <w:numId w:val="24"/>
              </w:numPr>
              <w:spacing w:before="0" w:after="240"/>
              <w:ind w:hanging="280"/>
              <w:jc w:val="left"/>
              <w:rPr>
                <w:szCs w:val="24"/>
              </w:rPr>
            </w:pPr>
            <w:r>
              <w:rPr>
                <w:szCs w:val="24"/>
              </w:rPr>
              <w:t>проектни предложения с включени инвестиции за реконструкция, ремонт, оборудване и/или обзавеждане на общинска образователна инфраструктура с местно значение в селските райони.</w:t>
            </w:r>
          </w:p>
          <w:p w:rsidR="00A1205A" w:rsidRDefault="009E0DC1">
            <w:pPr>
              <w:spacing w:before="240" w:after="240"/>
              <w:jc w:val="left"/>
              <w:rPr>
                <w:szCs w:val="24"/>
              </w:rPr>
            </w:pPr>
            <w:r>
              <w:rPr>
                <w:szCs w:val="24"/>
              </w:rPr>
              <w:t>В резултат на проведеното обсъждане, КН взема решение за одобрения на предложените критерии за подбор на проекти като определя и съответната тежест. По т. 1 КН определя максимален брой точки 74 със задължително условие за допустимост за финансиране на проекти, получили най-малко 20 точки. По т. 2 е определен максимален брой 76 точки със задължително условие за допустимост за финансиране на проекти, получили най-малко 20 точки. По т. 3 максимален брой точки 100 и минимално условие за допустимост - получени15 точки. По т. 4 максимален брй точки 100 минимално условие за допустимост – получени 50 точки. По т. 5  максималне брой точки 51 и минимално условие за допустимост 15 точки. По отношение на начина по който да бъдат класирани проектните предложения по т. 6 и т. 7 предвид характера на инвестициите, КН взема решение да бъде изготвена методология за приоритизиране на образователна инфраструктура, одобрена от Министъра на образованието и науката.</w:t>
            </w:r>
          </w:p>
          <w:p w:rsidR="00A1205A" w:rsidRDefault="009E0DC1">
            <w:pPr>
              <w:spacing w:before="240" w:after="240"/>
              <w:jc w:val="left"/>
              <w:rPr>
                <w:szCs w:val="24"/>
              </w:rPr>
            </w:pPr>
            <w:r>
              <w:rPr>
                <w:szCs w:val="24"/>
              </w:rPr>
              <w:t>Въз основа на одобрените критерии за подбор на проекти от КН на ПРСР се пристъпва към завършване на работата по изготвяне на нормативната уредба за прилагане на подмярка а именно: Наредба 12 от 25 юли 2016 г. за прилагане на подмярка 7.2 „Инвестиции в създаването, подобряването или разширяването на всички видове малка по мащаби инфраструктура“.</w:t>
            </w:r>
          </w:p>
          <w:p w:rsidR="00A1205A" w:rsidRDefault="009E0DC1">
            <w:pPr>
              <w:spacing w:before="240" w:after="240"/>
              <w:jc w:val="left"/>
              <w:rPr>
                <w:szCs w:val="24"/>
              </w:rPr>
            </w:pPr>
            <w:r>
              <w:rPr>
                <w:szCs w:val="24"/>
              </w:rPr>
              <w:t>Със Заповед на министъра на земеделието и храните е обявен прием на заявления за подпомагане по подмярка 7.2 в периода 2 септември – 3 октомври 2016 г. Определеният бюджет в рамките на периода на прием е в размер на левовата равностойност на 341 млн. евро и е разпределен както следва:</w:t>
            </w:r>
          </w:p>
          <w:p w:rsidR="00A1205A" w:rsidRDefault="009E0DC1" w:rsidP="009E0DC1">
            <w:pPr>
              <w:numPr>
                <w:ilvl w:val="0"/>
                <w:numId w:val="25"/>
              </w:numPr>
              <w:spacing w:before="240" w:after="0"/>
              <w:ind w:hanging="210"/>
              <w:jc w:val="left"/>
              <w:rPr>
                <w:szCs w:val="24"/>
              </w:rPr>
            </w:pPr>
            <w:r>
              <w:rPr>
                <w:szCs w:val="24"/>
              </w:rPr>
              <w:t xml:space="preserve">50 000 000 евро за строителство, рекоснтрукция или рехабилитация на нови и съществуващи </w:t>
            </w:r>
            <w:r>
              <w:rPr>
                <w:szCs w:val="24"/>
              </w:rPr>
              <w:lastRenderedPageBreak/>
              <w:t>улици, тротоари, и съоръженията и принадлежностите към тях;</w:t>
            </w:r>
          </w:p>
          <w:p w:rsidR="00A1205A" w:rsidRDefault="009E0DC1" w:rsidP="009E0DC1">
            <w:pPr>
              <w:numPr>
                <w:ilvl w:val="0"/>
                <w:numId w:val="25"/>
              </w:numPr>
              <w:spacing w:before="0" w:after="0"/>
              <w:ind w:hanging="210"/>
              <w:jc w:val="left"/>
              <w:rPr>
                <w:szCs w:val="24"/>
              </w:rPr>
            </w:pPr>
            <w:r>
              <w:rPr>
                <w:szCs w:val="24"/>
              </w:rPr>
              <w:t>150 000 000 евро за строителство, реконструкция и/или рехабилитация на нови и съществуващи общински пътища и съоръженията и принадлежностите към тях;</w:t>
            </w:r>
          </w:p>
          <w:p w:rsidR="00A1205A" w:rsidRDefault="009E0DC1" w:rsidP="009E0DC1">
            <w:pPr>
              <w:numPr>
                <w:ilvl w:val="0"/>
                <w:numId w:val="25"/>
              </w:numPr>
              <w:spacing w:before="0" w:after="0"/>
              <w:ind w:hanging="210"/>
              <w:jc w:val="left"/>
              <w:rPr>
                <w:szCs w:val="24"/>
              </w:rPr>
            </w:pPr>
            <w:r>
              <w:rPr>
                <w:szCs w:val="24"/>
              </w:rPr>
              <w:t>85 000 000 евро за изграждане, реконструкция и/или рехабилитация на водоснабдителни системи и съоръжения в агломерации с под 2 000 е.ж. в селските райони;</w:t>
            </w:r>
          </w:p>
          <w:p w:rsidR="00A1205A" w:rsidRDefault="009E0DC1" w:rsidP="009E0DC1">
            <w:pPr>
              <w:numPr>
                <w:ilvl w:val="0"/>
                <w:numId w:val="25"/>
              </w:numPr>
              <w:spacing w:before="0" w:after="0"/>
              <w:ind w:hanging="210"/>
              <w:jc w:val="left"/>
              <w:rPr>
                <w:szCs w:val="24"/>
              </w:rPr>
            </w:pPr>
            <w:r>
              <w:rPr>
                <w:szCs w:val="24"/>
              </w:rPr>
              <w:t>6 0000 0000 евро за изграждане, реконструкция, ремонт, оборудване и/или обзавеждане на социална инфраструктура за предоставяне на услуги, които не са част от процеса на деинституционализация на деца или възрастни, включително транспортни средства;</w:t>
            </w:r>
          </w:p>
          <w:p w:rsidR="00A1205A" w:rsidRDefault="009E0DC1" w:rsidP="009E0DC1">
            <w:pPr>
              <w:numPr>
                <w:ilvl w:val="0"/>
                <w:numId w:val="25"/>
              </w:numPr>
              <w:spacing w:before="0" w:after="0"/>
              <w:ind w:hanging="210"/>
              <w:jc w:val="left"/>
              <w:rPr>
                <w:szCs w:val="24"/>
              </w:rPr>
            </w:pPr>
            <w:r>
              <w:rPr>
                <w:szCs w:val="24"/>
              </w:rPr>
              <w:t>10 000 000 евро за изграждане, реконструкция, ремонт, реставрация, закупуване на оборудване и/или обзавеждане на обекти, свързани с културния живот, вкл. мобилни такива, вкл. и дейности по вертикалната планировка и подобряване на прилежащите пространства;</w:t>
            </w:r>
          </w:p>
          <w:p w:rsidR="00A1205A" w:rsidRDefault="009E0DC1" w:rsidP="009E0DC1">
            <w:pPr>
              <w:numPr>
                <w:ilvl w:val="0"/>
                <w:numId w:val="25"/>
              </w:numPr>
              <w:spacing w:before="0" w:after="0"/>
              <w:ind w:hanging="210"/>
              <w:jc w:val="left"/>
              <w:rPr>
                <w:szCs w:val="24"/>
              </w:rPr>
            </w:pPr>
            <w:r>
              <w:rPr>
                <w:szCs w:val="24"/>
              </w:rPr>
              <w:t>15 000 000 евро за реконструкция, ремонт, оборудване и/или обзавеждане на детска градина, финансирана чрез бюджета на общината;</w:t>
            </w:r>
          </w:p>
          <w:p w:rsidR="00A1205A" w:rsidRDefault="009E0DC1" w:rsidP="009E0DC1">
            <w:pPr>
              <w:numPr>
                <w:ilvl w:val="0"/>
                <w:numId w:val="25"/>
              </w:numPr>
              <w:spacing w:before="0" w:after="240"/>
              <w:ind w:hanging="210"/>
              <w:jc w:val="left"/>
              <w:rPr>
                <w:szCs w:val="24"/>
              </w:rPr>
            </w:pPr>
            <w:r>
              <w:rPr>
                <w:szCs w:val="24"/>
              </w:rPr>
              <w:t>25 000 000 евро за реконструкция, ремонт, оборудване и/или обзавеждане на основно или средно училище, финансирано чрез бюджета на общината.</w:t>
            </w:r>
          </w:p>
          <w:p w:rsidR="00A1205A" w:rsidRDefault="009E0DC1">
            <w:pPr>
              <w:spacing w:before="240" w:after="240"/>
              <w:jc w:val="left"/>
              <w:rPr>
                <w:szCs w:val="24"/>
              </w:rPr>
            </w:pPr>
            <w:r>
              <w:rPr>
                <w:szCs w:val="24"/>
              </w:rPr>
              <w:t>В рамките на проведения период на прием в ДФ „Земеделие“ – Разплащателна агенция са приети общо 925 заявления за подпомагане с общ размер на завените разходи, респективно размер на заявената финансова помощ, възлизащи на 1 080 261 540 евро. Проектните предложения, подадени от страна на кандидатите са разпределени по типове инвестиции както следва:</w:t>
            </w:r>
          </w:p>
          <w:p w:rsidR="00A1205A" w:rsidRDefault="009E0DC1">
            <w:pPr>
              <w:spacing w:before="240" w:after="240"/>
              <w:jc w:val="left"/>
              <w:rPr>
                <w:szCs w:val="24"/>
              </w:rPr>
            </w:pPr>
            <w:r>
              <w:rPr>
                <w:szCs w:val="24"/>
              </w:rPr>
              <w:t>Таблица по М7.2</w:t>
            </w:r>
          </w:p>
          <w:p w:rsidR="00A1205A" w:rsidRDefault="009E0DC1">
            <w:pPr>
              <w:spacing w:before="240" w:after="240"/>
              <w:jc w:val="left"/>
              <w:rPr>
                <w:szCs w:val="24"/>
              </w:rPr>
            </w:pPr>
            <w:r>
              <w:rPr>
                <w:szCs w:val="24"/>
              </w:rPr>
              <w:t>Заявената финансова помощ в рамките на съответните заявления надхвърля трикратно предвидения бюджет. Разглеждането на постъпилите проекти в условията на ограничен бюджет налага извършване на предварителен ранкинг.  В резултат на проведеното класиране от страна на ДФ „Земеделие“ става ясно, че на по нататъчна обработка подлежат:</w:t>
            </w:r>
          </w:p>
          <w:p w:rsidR="00A1205A" w:rsidRDefault="009E0DC1" w:rsidP="009E0DC1">
            <w:pPr>
              <w:numPr>
                <w:ilvl w:val="0"/>
                <w:numId w:val="26"/>
              </w:numPr>
              <w:spacing w:before="240" w:after="0"/>
              <w:ind w:hanging="210"/>
              <w:jc w:val="left"/>
              <w:rPr>
                <w:szCs w:val="24"/>
              </w:rPr>
            </w:pPr>
            <w:r>
              <w:rPr>
                <w:szCs w:val="24"/>
              </w:rPr>
              <w:t>61 проекта за инвестиции в строителство, реконструкция и/или рехабилитация на нови и съществуващи общински пътища, и съоръженията и принадлежностите към тях. Заявената финансова помощ по съответните проекти възлиза на 159 601 754 евро, представляващи 106 % от наличния бюджет;</w:t>
            </w:r>
          </w:p>
          <w:p w:rsidR="00A1205A" w:rsidRDefault="009E0DC1" w:rsidP="009E0DC1">
            <w:pPr>
              <w:numPr>
                <w:ilvl w:val="0"/>
                <w:numId w:val="26"/>
              </w:numPr>
              <w:spacing w:before="0" w:after="0"/>
              <w:ind w:hanging="210"/>
              <w:jc w:val="left"/>
              <w:rPr>
                <w:szCs w:val="24"/>
              </w:rPr>
            </w:pPr>
            <w:r>
              <w:rPr>
                <w:szCs w:val="24"/>
              </w:rPr>
              <w:t>63 проекта за строителство, реконструкция и/или рехабилитация на нови и съществуващи улици и тротоари, и съоръженията и принадлежностите към тях. Заявената финансова помощ по съответните проекти възлиза на 60 637 682 евро, представляващи 121 % от наличния бюджет;</w:t>
            </w:r>
          </w:p>
          <w:p w:rsidR="00A1205A" w:rsidRDefault="009E0DC1" w:rsidP="009E0DC1">
            <w:pPr>
              <w:numPr>
                <w:ilvl w:val="0"/>
                <w:numId w:val="26"/>
              </w:numPr>
              <w:spacing w:before="0" w:after="0"/>
              <w:ind w:hanging="210"/>
              <w:jc w:val="left"/>
              <w:rPr>
                <w:szCs w:val="24"/>
              </w:rPr>
            </w:pPr>
            <w:r>
              <w:rPr>
                <w:szCs w:val="24"/>
              </w:rPr>
              <w:t>65 проекта за изграждане, реконструкция, ремонт, реставрация, закупуване на оборудване и/или обзавеждане на обекти, свързани с културния живот. Заявената финансова помощ по съответните проекти възлиза на 11 486 258 евро, представляващи 115 % от наличния бюджет;</w:t>
            </w:r>
          </w:p>
          <w:p w:rsidR="00A1205A" w:rsidRDefault="009E0DC1" w:rsidP="009E0DC1">
            <w:pPr>
              <w:numPr>
                <w:ilvl w:val="0"/>
                <w:numId w:val="26"/>
              </w:numPr>
              <w:spacing w:before="0" w:after="0"/>
              <w:ind w:hanging="210"/>
              <w:jc w:val="left"/>
              <w:rPr>
                <w:szCs w:val="24"/>
              </w:rPr>
            </w:pPr>
            <w:r>
              <w:rPr>
                <w:szCs w:val="24"/>
              </w:rPr>
              <w:t>6 проекта за изграждане, реконструкция, ремонт, оборудване и/или обзавеждане на социална инфраструктура. Общият размер на финансовата помощ по съответните проекти възлиза на  9 934 276 евро, представляващи 166 % от наличния бюджет;</w:t>
            </w:r>
          </w:p>
          <w:p w:rsidR="00A1205A" w:rsidRDefault="009E0DC1" w:rsidP="009E0DC1">
            <w:pPr>
              <w:numPr>
                <w:ilvl w:val="0"/>
                <w:numId w:val="26"/>
              </w:numPr>
              <w:spacing w:before="0" w:after="240"/>
              <w:ind w:hanging="210"/>
              <w:jc w:val="left"/>
              <w:rPr>
                <w:szCs w:val="24"/>
              </w:rPr>
            </w:pPr>
            <w:r>
              <w:rPr>
                <w:szCs w:val="24"/>
              </w:rPr>
              <w:t>115 проекта за реконструкция, ремонт, оборудване и/или обзавеждане на детска градина, финансирана чрез бюджета на общината, реконструкция, ремонт, оборудване и/или обзавеждане на основно или средно училище, финансирано чрез бюджета на общината, изграждане, реконструкция и/или рехабилитация на водоснабдителни системи и съоръжения в агломерации с под 2 000 еквивалент жители в селските райони.</w:t>
            </w:r>
          </w:p>
          <w:p w:rsidR="00A1205A" w:rsidRDefault="009E0DC1">
            <w:pPr>
              <w:spacing w:before="240" w:after="240"/>
              <w:jc w:val="left"/>
              <w:rPr>
                <w:szCs w:val="24"/>
              </w:rPr>
            </w:pPr>
            <w:r>
              <w:rPr>
                <w:szCs w:val="24"/>
              </w:rPr>
              <w:t xml:space="preserve">На всички кандидати е предоставена възможност, в случай на несъгласие с получения брой точки от </w:t>
            </w:r>
            <w:r>
              <w:rPr>
                <w:szCs w:val="24"/>
              </w:rPr>
              <w:lastRenderedPageBreak/>
              <w:t>предварителната оценка по критериите за подбор, да подадат аргументирани писмени възражения в срок до края на 2016 г. Към края на година всички заявления са в процес на обработка като не са одобрени заявления или сключени договори.</w:t>
            </w:r>
          </w:p>
          <w:p w:rsidR="00A1205A" w:rsidRDefault="009E0DC1">
            <w:pPr>
              <w:spacing w:before="240" w:after="240"/>
              <w:jc w:val="left"/>
              <w:rPr>
                <w:szCs w:val="24"/>
              </w:rPr>
            </w:pPr>
            <w:r>
              <w:rPr>
                <w:szCs w:val="24"/>
              </w:rPr>
              <w:t>На 10 декември 2016 г. в село Хитрино, Област Шумен в резултат на влаков инцидент загинаха 7 души и 29 души бяха ранени. В резултат на инцидента са нанесени огромни щети на жилища и общинска инфраструктура във връзка с което се взема решение за обяваване на целеви прием за община Хитрино, включващ възможност за подпомагане на инвестиции в публична инфраструктура на територията на строителните граници на село Хитрино. Обявеният бюджет в рамките на периода на прием е в размер на левовата равностойност на 10 000 0000 евро. Периодът на прием на заявления е определен в рамките на първите три месеца на 2017 г.</w:t>
            </w:r>
          </w:p>
          <w:p w:rsidR="00A1205A" w:rsidRDefault="009E0DC1">
            <w:pPr>
              <w:spacing w:before="240" w:after="240"/>
              <w:jc w:val="left"/>
              <w:rPr>
                <w:szCs w:val="24"/>
              </w:rPr>
            </w:pPr>
            <w:r>
              <w:rPr>
                <w:b/>
                <w:bCs/>
                <w:i/>
                <w:iCs/>
                <w:szCs w:val="24"/>
              </w:rPr>
              <w:t xml:space="preserve">Прием по мерки и подмерки, свързани с плащане на площ </w:t>
            </w:r>
            <w:r>
              <w:rPr>
                <w:szCs w:val="24"/>
              </w:rPr>
              <w:t>В периода 01.03.2016 г. до 23.06.2016 г. в рамките на годишната кампания по директни плащания се прилагат мерки и подмерки от Програмата, свързани с плащане на площ, т.нар. компенсаторни мерки: мярка 10 „Агроекология и климат“, мярка 11 „Биологично земеделие“, мярка 12 „Плащания по „Натура-2000” и Рамковата директива  за водите“ и мярка 13 „Плащания за райони, изправени пред природни или други специфични ограничения“. Прилагането от 01.01.2015г. на многопластовата структура от схеми и мерки по двата стълба на ОСП 2014-2020 повиши административната тежест и приключването на административния контрол на подадените заявления както през 2015г., така и през 2016г. в обичайните срокове се забави. Поради тази причина към 31.12.2015г. не бе завършен процесът по одобряване на новозаявените в 2015г. ангажименти по посочените компенсаторни мерки от ПРСР 2014-2020г.- процесът е приключил през 2016г. По аналогични причини и към 31.12.2016г. не е завършен процесът по одобряване на заявените в 2016г. ангажименти по посочените компенсаторни мерки от ПРСР 2014-2020г.</w:t>
            </w:r>
          </w:p>
          <w:p w:rsidR="00A1205A" w:rsidRDefault="009E0DC1">
            <w:pPr>
              <w:spacing w:before="240" w:after="240"/>
              <w:jc w:val="left"/>
              <w:rPr>
                <w:szCs w:val="24"/>
              </w:rPr>
            </w:pPr>
            <w:r>
              <w:rPr>
                <w:b/>
                <w:bCs/>
                <w:szCs w:val="24"/>
              </w:rPr>
              <w:t>Мярка 10 „Агроекология и климат“</w:t>
            </w:r>
          </w:p>
          <w:p w:rsidR="00A1205A" w:rsidRDefault="009E0DC1">
            <w:pPr>
              <w:spacing w:before="240" w:after="240"/>
              <w:jc w:val="left"/>
              <w:rPr>
                <w:szCs w:val="24"/>
              </w:rPr>
            </w:pPr>
            <w:r>
              <w:rPr>
                <w:szCs w:val="24"/>
              </w:rPr>
              <w:t>През 2015г. мярката се прилага в пълен обхват със следните направления: 1. възстановяване и поддържане на постоянно затревени площи с висока природна стойност (ВПС); 2. поддържане на местообитанията на зимуващите видове гъски и ливаден блатар в обработваеми земи с орнитологично значение; 3. поддържане на местообитанията на Царски орел и Египетски лешояд в обработваеми земи с орнитологично значение; 4. контрол на почвената ерозия; 5. традиционни практики за сезонна паша (пасторализъм); 6. опазване на застрашени от изчезване местни породи, важни за селското стопанство и 7. опазване на застрашени от изчезване местни сортове, важни за селското стопанство. </w:t>
            </w:r>
          </w:p>
          <w:p w:rsidR="00A1205A" w:rsidRDefault="009E0DC1">
            <w:pPr>
              <w:spacing w:before="240" w:after="240"/>
              <w:jc w:val="left"/>
              <w:rPr>
                <w:szCs w:val="24"/>
              </w:rPr>
            </w:pPr>
            <w:r>
              <w:rPr>
                <w:szCs w:val="24"/>
              </w:rPr>
              <w:t>Към 31.12.2015г. не бе завършен процесът по одобряване на новозаявените в 2015г. ангажименти по мярката- процесът е приключил през 2016г. По аналогични причини и към 31.12.2016г. не е завършен процесът по одобряване на заявените в 2016г. ангажименти.</w:t>
            </w:r>
          </w:p>
          <w:p w:rsidR="00A1205A" w:rsidRDefault="009E0DC1">
            <w:pPr>
              <w:spacing w:before="240" w:after="240"/>
              <w:jc w:val="left"/>
              <w:rPr>
                <w:szCs w:val="24"/>
              </w:rPr>
            </w:pPr>
            <w:r>
              <w:rPr>
                <w:szCs w:val="24"/>
              </w:rPr>
              <w:t>През 2016г. е направен анализ от УО на ПРСР по прилагането на мярката от предходната 2015г. и въз основа на очертаните тенденции със заповед на министъра на земеделието и храните е решено през кампания 2016 да не се приемат заявления за подпомагане по мярка 10 „Агроекология и климат“, с които се поема нов ангажимент за:</w:t>
            </w:r>
          </w:p>
          <w:p w:rsidR="00A1205A" w:rsidRDefault="009E0DC1" w:rsidP="009E0DC1">
            <w:pPr>
              <w:numPr>
                <w:ilvl w:val="0"/>
                <w:numId w:val="27"/>
              </w:numPr>
              <w:spacing w:before="240" w:after="0"/>
              <w:ind w:hanging="210"/>
              <w:jc w:val="left"/>
              <w:rPr>
                <w:szCs w:val="24"/>
              </w:rPr>
            </w:pPr>
            <w:r>
              <w:rPr>
                <w:szCs w:val="24"/>
              </w:rPr>
              <w:t>дейностите по направление "Поддържане на местообитанията на зимуващите видове гъски и Ливадния блатар в обработваеми земи с орнитологично значение";</w:t>
            </w:r>
          </w:p>
          <w:p w:rsidR="00A1205A" w:rsidRDefault="009E0DC1" w:rsidP="009E0DC1">
            <w:pPr>
              <w:numPr>
                <w:ilvl w:val="0"/>
                <w:numId w:val="27"/>
              </w:numPr>
              <w:spacing w:before="0" w:after="0"/>
              <w:ind w:hanging="210"/>
              <w:jc w:val="left"/>
              <w:rPr>
                <w:szCs w:val="24"/>
              </w:rPr>
            </w:pPr>
            <w:r>
              <w:rPr>
                <w:szCs w:val="24"/>
              </w:rPr>
              <w:t>дейността по направление „Поддържане на местообитанията на Царски орел и Египетски лешояд в обработваеми земи с орнитологично значение“;</w:t>
            </w:r>
          </w:p>
          <w:p w:rsidR="00A1205A" w:rsidRDefault="009E0DC1" w:rsidP="009E0DC1">
            <w:pPr>
              <w:numPr>
                <w:ilvl w:val="0"/>
                <w:numId w:val="27"/>
              </w:numPr>
              <w:spacing w:before="0" w:after="240"/>
              <w:ind w:hanging="210"/>
              <w:jc w:val="left"/>
              <w:rPr>
                <w:szCs w:val="24"/>
              </w:rPr>
            </w:pPr>
            <w:r>
              <w:rPr>
                <w:szCs w:val="24"/>
              </w:rPr>
              <w:lastRenderedPageBreak/>
              <w:t>дейността „Превръщане на обработваеми земеделски земи в постоянно затревени площи“ по направление "Контрол на почвената ерозия".</w:t>
            </w:r>
          </w:p>
          <w:p w:rsidR="00A1205A" w:rsidRDefault="009E0DC1">
            <w:pPr>
              <w:spacing w:before="240" w:after="240"/>
              <w:jc w:val="left"/>
              <w:rPr>
                <w:szCs w:val="24"/>
              </w:rPr>
            </w:pPr>
            <w:r>
              <w:rPr>
                <w:b/>
                <w:bCs/>
                <w:szCs w:val="24"/>
              </w:rPr>
              <w:t xml:space="preserve">Мярка 11 „Биологично земеделие“             </w:t>
            </w:r>
          </w:p>
          <w:p w:rsidR="00A1205A" w:rsidRDefault="009E0DC1">
            <w:pPr>
              <w:spacing w:before="240" w:after="240"/>
              <w:jc w:val="left"/>
              <w:rPr>
                <w:szCs w:val="24"/>
              </w:rPr>
            </w:pPr>
            <w:r>
              <w:rPr>
                <w:szCs w:val="24"/>
              </w:rPr>
              <w:t>През 2015г. и 2016г. мярката се прилага в пълен обхват с две подмерки „Плащания за преминаване към биологично земеделие“, подмярка „Плащания за поддържане на биологично земеделие” и с три направления- биологично растениевъдство, биологично пчеларство и биологично животновъдство.</w:t>
            </w:r>
          </w:p>
          <w:p w:rsidR="00A1205A" w:rsidRDefault="009E0DC1">
            <w:pPr>
              <w:spacing w:before="240" w:after="240"/>
              <w:jc w:val="left"/>
              <w:rPr>
                <w:szCs w:val="24"/>
              </w:rPr>
            </w:pPr>
            <w:r>
              <w:rPr>
                <w:szCs w:val="24"/>
              </w:rPr>
              <w:t>Поради удължаване крайният срок на Кампания по директни плащания, към 31.12.2015г. не бе завършен процесът по одобряване на новозаявените в 2015г. ангажименти по мярката- процесът е приключил през 2016г. По аналогични причини и към 31.12.2016г. не е завършен процесът по изплащане на заявените в 2016г. ангажименти.</w:t>
            </w:r>
          </w:p>
          <w:p w:rsidR="00A1205A" w:rsidRDefault="009E0DC1">
            <w:pPr>
              <w:spacing w:before="240" w:after="240"/>
              <w:jc w:val="left"/>
              <w:rPr>
                <w:szCs w:val="24"/>
              </w:rPr>
            </w:pPr>
            <w:r>
              <w:rPr>
                <w:b/>
                <w:bCs/>
                <w:szCs w:val="24"/>
              </w:rPr>
              <w:t>Мярка 12 „Плащания по „Натура-2000” и Рамковата директива  за водите“</w:t>
            </w:r>
          </w:p>
          <w:p w:rsidR="00A1205A" w:rsidRDefault="009E0DC1">
            <w:pPr>
              <w:spacing w:before="240" w:after="240"/>
              <w:jc w:val="left"/>
              <w:rPr>
                <w:szCs w:val="24"/>
              </w:rPr>
            </w:pPr>
            <w:r>
              <w:rPr>
                <w:szCs w:val="24"/>
              </w:rPr>
              <w:t>През 2015г. и 2016г. не се прилагат подмярка 12.2. „Компенсаторни плащания за гори в Натура 2000“ и подмярка 12.3. „Компенсаторни плащания за селскостопански райони, включени в плановете за управление на речните басейни“. Наличната към 31.12.2016г. информация от прилагането на мярката е посочена в приложение.</w:t>
            </w:r>
          </w:p>
          <w:p w:rsidR="00A1205A" w:rsidRDefault="009E0DC1">
            <w:pPr>
              <w:spacing w:before="240" w:after="240"/>
              <w:jc w:val="left"/>
              <w:rPr>
                <w:szCs w:val="24"/>
              </w:rPr>
            </w:pPr>
            <w:r>
              <w:rPr>
                <w:szCs w:val="24"/>
              </w:rPr>
              <w:t>Към 31.12.2016г. не е завършен процесът по изплащане на заявените в 2016г. ангажименти.</w:t>
            </w:r>
          </w:p>
          <w:p w:rsidR="00A1205A" w:rsidRDefault="009E0DC1">
            <w:pPr>
              <w:spacing w:before="240" w:after="240"/>
              <w:jc w:val="left"/>
              <w:rPr>
                <w:szCs w:val="24"/>
              </w:rPr>
            </w:pPr>
            <w:r>
              <w:rPr>
                <w:b/>
                <w:bCs/>
                <w:szCs w:val="24"/>
              </w:rPr>
              <w:t>Мярка 13 „Плащания за райони, изправени пред природни или други специфични ограничения“</w:t>
            </w:r>
          </w:p>
          <w:p w:rsidR="00A1205A" w:rsidRDefault="009E0DC1">
            <w:pPr>
              <w:spacing w:before="240" w:after="240"/>
              <w:jc w:val="left"/>
              <w:rPr>
                <w:szCs w:val="24"/>
              </w:rPr>
            </w:pPr>
            <w:r>
              <w:rPr>
                <w:szCs w:val="24"/>
              </w:rPr>
              <w:t>От 2015г. за втора поредна година се прилагат следните две подмерки от мярка 13: подмярка 13.1 "Компенсационни плащания в планински райони" и подмярка 13.2 "Компенсационни плащания за други райони, засегнати от значителни природни ограничения". Наличната към 31.12.2016г. информация от прилагането на мярката е посочена в приложение.</w:t>
            </w:r>
          </w:p>
          <w:p w:rsidR="00A1205A" w:rsidRDefault="009E0DC1">
            <w:pPr>
              <w:spacing w:before="240" w:after="240"/>
              <w:jc w:val="left"/>
              <w:rPr>
                <w:szCs w:val="24"/>
              </w:rPr>
            </w:pPr>
            <w:r>
              <w:rPr>
                <w:szCs w:val="24"/>
              </w:rPr>
              <w:t>Към 31.12.2016г. не е завършен процесът по изплащане на заявените в 2016г. ангажименти.</w:t>
            </w:r>
          </w:p>
          <w:p w:rsidR="00A1205A" w:rsidRDefault="009E0DC1">
            <w:pPr>
              <w:spacing w:before="240" w:after="240"/>
              <w:jc w:val="left"/>
              <w:rPr>
                <w:szCs w:val="24"/>
              </w:rPr>
            </w:pPr>
            <w:r>
              <w:rPr>
                <w:b/>
                <w:bCs/>
                <w:szCs w:val="24"/>
              </w:rPr>
              <w:t>Таблица № 13 Подадени, одобрени и оторизирани заявления, декларирана площ, животни в кампания 2015г. по мярка 10 и по направления към 31.12.2016г. (приложена)</w:t>
            </w:r>
          </w:p>
          <w:p w:rsidR="00A1205A" w:rsidRDefault="009E0DC1">
            <w:pPr>
              <w:spacing w:before="240" w:after="240"/>
              <w:jc w:val="left"/>
              <w:rPr>
                <w:szCs w:val="24"/>
              </w:rPr>
            </w:pPr>
            <w:r>
              <w:rPr>
                <w:b/>
                <w:bCs/>
                <w:szCs w:val="24"/>
              </w:rPr>
              <w:t>Таблица № 14 Подадени, одобрени и оторизирани заявления, декларирана площ, животни в кампания 2015г. по мярка 10 по направления и дейности към 31.12.2016г.(приложена)</w:t>
            </w:r>
          </w:p>
          <w:p w:rsidR="00A1205A" w:rsidRDefault="009E0DC1">
            <w:pPr>
              <w:spacing w:before="240" w:after="240"/>
              <w:jc w:val="left"/>
              <w:rPr>
                <w:szCs w:val="24"/>
              </w:rPr>
            </w:pPr>
            <w:r>
              <w:rPr>
                <w:b/>
                <w:bCs/>
                <w:szCs w:val="24"/>
              </w:rPr>
              <w:t xml:space="preserve">Таблица № 15  Подадени и одобрени заявления в кампания 2015г. по направления  от мярка 11 към 31.12.2016г. (приложена) </w:t>
            </w:r>
          </w:p>
          <w:p w:rsidR="00A1205A" w:rsidRDefault="009E0DC1">
            <w:pPr>
              <w:spacing w:before="240" w:after="240"/>
              <w:jc w:val="left"/>
              <w:rPr>
                <w:szCs w:val="24"/>
              </w:rPr>
            </w:pPr>
            <w:r>
              <w:rPr>
                <w:b/>
                <w:bCs/>
                <w:szCs w:val="24"/>
              </w:rPr>
              <w:t>Таблица № 16 Подадени, одобрени и оторизирани заявления, заявена площ, животни в кампания 2015г. по подмерки от мярка 11 към 31.12.2016г. (приложена)</w:t>
            </w:r>
          </w:p>
          <w:p w:rsidR="00A1205A" w:rsidRDefault="009E0DC1">
            <w:pPr>
              <w:spacing w:before="240" w:after="240"/>
              <w:jc w:val="left"/>
              <w:rPr>
                <w:szCs w:val="24"/>
              </w:rPr>
            </w:pPr>
            <w:r>
              <w:rPr>
                <w:b/>
                <w:bCs/>
                <w:szCs w:val="24"/>
              </w:rPr>
              <w:t>Таблица № 17  Подадени, одобрени, оторизирани заявления и декларирана площ по мярка 12 към 31.12.2016г. (приложена)</w:t>
            </w:r>
          </w:p>
          <w:p w:rsidR="00A1205A" w:rsidRDefault="009E0DC1">
            <w:pPr>
              <w:spacing w:before="240" w:after="240"/>
              <w:jc w:val="left"/>
              <w:rPr>
                <w:szCs w:val="24"/>
              </w:rPr>
            </w:pPr>
            <w:r>
              <w:rPr>
                <w:b/>
                <w:bCs/>
                <w:szCs w:val="24"/>
              </w:rPr>
              <w:t>Таблица № 18 Подадени, одобрени, оторизирани заявления и декларирана площ по подмерки от мярка 13 към 31.12.2016г. (приложена)</w:t>
            </w:r>
          </w:p>
          <w:p w:rsidR="00A1205A" w:rsidRDefault="009E0DC1">
            <w:pPr>
              <w:spacing w:before="240" w:after="240"/>
              <w:jc w:val="left"/>
              <w:rPr>
                <w:szCs w:val="24"/>
              </w:rPr>
            </w:pPr>
            <w:r>
              <w:rPr>
                <w:szCs w:val="24"/>
              </w:rPr>
              <w:lastRenderedPageBreak/>
              <w:t>        </w:t>
            </w:r>
          </w:p>
          <w:p w:rsidR="00A1205A" w:rsidRDefault="009E0DC1">
            <w:pPr>
              <w:spacing w:before="240" w:after="240"/>
              <w:jc w:val="left"/>
              <w:rPr>
                <w:szCs w:val="24"/>
              </w:rPr>
            </w:pPr>
            <w:r>
              <w:rPr>
                <w:b/>
                <w:bCs/>
                <w:szCs w:val="24"/>
                <w:u w:val="single"/>
              </w:rPr>
              <w:t xml:space="preserve">Финансиране на текущи многогодишни ангажименти по мерка от Ос 2 на ПРСР 2007-2013 </w:t>
            </w:r>
          </w:p>
          <w:p w:rsidR="00A1205A" w:rsidRDefault="009E0DC1">
            <w:pPr>
              <w:spacing w:before="240" w:after="240"/>
              <w:jc w:val="left"/>
              <w:rPr>
                <w:szCs w:val="24"/>
              </w:rPr>
            </w:pPr>
            <w:r>
              <w:rPr>
                <w:szCs w:val="24"/>
              </w:rPr>
              <w:t xml:space="preserve">В съответствие с </w:t>
            </w:r>
            <w:r>
              <w:rPr>
                <w:i/>
                <w:iCs/>
                <w:szCs w:val="24"/>
              </w:rPr>
              <w:t>РЕГЛАМЕНТ (ЕС) № 1310/2013 НА ЕВРОПЕЙСКИЯ ПАРЛАМЕНТ И НА СЪВЕТА от 17 декември 2013 г. относно определяне на някои преходни разпоредби във връзка с подпомагането на развитието на селските райони от Европейския земеделски фонд за развитие на селските райони (ЕЗФРСР), за изменение на Регламент (ЕС) № 1305/2013 .....</w:t>
            </w:r>
            <w:r>
              <w:rPr>
                <w:szCs w:val="24"/>
              </w:rPr>
              <w:t xml:space="preserve"> в ПРСР 2014-2020 е определено поетите ангажименти по дейности от ПРСР 2007-2013 да бъдат финансирани от ПРСР 2007-2013 до изтичането им, а от 2016г. да бъдат изплащани от бюджета на ПРСР 2014-2020.</w:t>
            </w:r>
          </w:p>
          <w:p w:rsidR="00A1205A" w:rsidRDefault="009E0DC1">
            <w:pPr>
              <w:spacing w:before="240" w:after="240"/>
              <w:jc w:val="left"/>
              <w:rPr>
                <w:szCs w:val="24"/>
              </w:rPr>
            </w:pPr>
            <w:r>
              <w:rPr>
                <w:b/>
                <w:bCs/>
                <w:i/>
                <w:iCs/>
                <w:szCs w:val="24"/>
              </w:rPr>
              <w:t>Мярка 214 „Агроекологични плащания“</w:t>
            </w:r>
          </w:p>
          <w:p w:rsidR="00A1205A" w:rsidRDefault="009E0DC1">
            <w:pPr>
              <w:spacing w:before="240" w:after="240"/>
              <w:jc w:val="left"/>
              <w:rPr>
                <w:szCs w:val="24"/>
              </w:rPr>
            </w:pPr>
            <w:r>
              <w:rPr>
                <w:szCs w:val="24"/>
              </w:rPr>
              <w:t>Разходи по поетите и изпълнявани ангажименти за всички допустими заявления по мярка 214 „Агроекологични плащания“ от ПРСР 2007-2013, извършени след крайния допустим срок за плащания по ПРСР 2007-2013 г. ще бъдат отнесени към бюджета на мярка 10 „Агроекология и климат“ и мярка 11 „Биологично земеделие“ от ПРСР 2014-2020. При недостиг на средствата за поетите и изпълнявани ангажименти по мярка 214 „Агроекологични плащания” от ПРСР 2007-2013 преди крайният допустим срок по ПРСР 2007-2013г., те ще бъдат отнесени към бюджета на мярка 10”Агроекология и климат или мярка 11 „Биологично земеделие”.</w:t>
            </w:r>
          </w:p>
          <w:p w:rsidR="00A1205A" w:rsidRDefault="009E0DC1">
            <w:pPr>
              <w:spacing w:before="240" w:after="240"/>
              <w:jc w:val="left"/>
              <w:rPr>
                <w:szCs w:val="24"/>
              </w:rPr>
            </w:pPr>
            <w:r>
              <w:rPr>
                <w:szCs w:val="24"/>
              </w:rPr>
              <w:t>Към 31.12.2015 г. по ПРСР 2014-2020г. няма реализирани плащания за поети пет годишен ангажимент по мярка 214, 211 и 212 от ПРСР 2007-2013г. Към края на годината процедурата по одобряване на подадените през 2015г. заявления за плащане по тези мерки, както и одобряването на доброволните откази по мярка 214 от октомври-ноември 2015г.(поради завишени изисквания в направлението „въвеждане на сеитбообращение“) не са приключила. Към 31.12.2015г. не е завършен и процесът по одобряване на новозаявените в 2015г. ангажименти по мярка 10 „Агроекология и климат“ и мярка 11 „Биологично земеделие“ от ПРСР 2014-2020г., както и определянето на прогнозен бюджет, необходим за финансиране на старите задължения по мярка 214, съответно от мярка 10 или мярка 11 на ПРСР 2014-2020г.- процесът е приключил през 2016г.</w:t>
            </w:r>
          </w:p>
          <w:p w:rsidR="00A1205A" w:rsidRDefault="009E0DC1">
            <w:pPr>
              <w:spacing w:before="240" w:after="240"/>
              <w:jc w:val="left"/>
              <w:rPr>
                <w:szCs w:val="24"/>
              </w:rPr>
            </w:pPr>
            <w:r>
              <w:rPr>
                <w:szCs w:val="24"/>
              </w:rPr>
              <w:t>Към 31.12.2016г. не е завършен процесът по изплащане на заявените в 2016г. ангажименти.</w:t>
            </w:r>
          </w:p>
          <w:p w:rsidR="00A1205A" w:rsidRDefault="009E0DC1">
            <w:pPr>
              <w:spacing w:before="240" w:after="240"/>
              <w:jc w:val="left"/>
              <w:rPr>
                <w:szCs w:val="24"/>
              </w:rPr>
            </w:pPr>
            <w:r>
              <w:rPr>
                <w:b/>
                <w:bCs/>
                <w:i/>
                <w:iCs/>
                <w:szCs w:val="24"/>
              </w:rPr>
              <w:t>Мерки 211 и 212 за необлагодетелстваните райони</w:t>
            </w:r>
          </w:p>
          <w:p w:rsidR="00A1205A" w:rsidRDefault="009E0DC1">
            <w:pPr>
              <w:spacing w:before="240" w:after="240"/>
              <w:jc w:val="left"/>
              <w:rPr>
                <w:szCs w:val="24"/>
              </w:rPr>
            </w:pPr>
            <w:r>
              <w:rPr>
                <w:szCs w:val="24"/>
              </w:rPr>
              <w:t>За новите правни задължения по мерките за необлагодетелстваните райони, поети през 2014 г. по ПРСР 2007-2013г. не се прилага задължението на земеделския стопанин да продължи да обработва земята в необлагодетелстваните райони в продължение на 5 последователни години, но бенефициентите поели ангажимент преди 2014г. продължават да го изпълняват до изтичането му. Поетите и текущи ангажименти по дейности от мярка 211 “Плащания на земеделски стопани за природни ограничения в планинските райони” и мярка 212 „Плащания на земеделски стопани в райони с ограничения, различни от планинските райони” от ПРСР 2007-2013 за кампания 2015г. и 2016г. ще бъдат изплащани от бюджета на марка 13 „Плащания за райони с природни или други специфични ограничения“ от ПРСР 2014 – 2020 г. Към края на 2015г. не е завършен и процесът по одобряване на новозаявените в 2015г. ангажименти по мярката. Процесът е приключил през 2016г.</w:t>
            </w:r>
          </w:p>
          <w:p w:rsidR="00A1205A" w:rsidRDefault="009E0DC1">
            <w:pPr>
              <w:spacing w:before="240" w:after="240"/>
              <w:jc w:val="left"/>
              <w:rPr>
                <w:szCs w:val="24"/>
              </w:rPr>
            </w:pPr>
            <w:r>
              <w:rPr>
                <w:szCs w:val="24"/>
              </w:rPr>
              <w:t xml:space="preserve">В периода 01.03.2015 г. до 23.06.2015 г. и 01.03.2016 г. до 23.06.2016 г в рамките на годишните кампании по директните плащания единствено бенефициентите, изпълняващи пет годишен ангажимент по мярка 211 “Плащания на земеделски стопани за природни ограничения в планинските райони” от ПРСР 2007-2013г. подават заявления за плащане, а новите допустими </w:t>
            </w:r>
            <w:r>
              <w:rPr>
                <w:szCs w:val="24"/>
              </w:rPr>
              <w:lastRenderedPageBreak/>
              <w:t>кандидати подават заявление за подпомагане съответно по подмярка 13.1 "Компенсационни плащания в планински райони" и подмярка 13.2 "Компенсационни плащания за други райони, засегнати от значителни природни ограничения" от мярка 13 „Плащания за райони с природни или други специфични ограничения“ от ПРСР 2014– 2020г.</w:t>
            </w:r>
          </w:p>
          <w:p w:rsidR="00A1205A" w:rsidRDefault="009E0DC1">
            <w:pPr>
              <w:spacing w:before="240" w:after="240"/>
              <w:jc w:val="left"/>
              <w:rPr>
                <w:szCs w:val="24"/>
              </w:rPr>
            </w:pPr>
            <w:r>
              <w:rPr>
                <w:szCs w:val="24"/>
              </w:rPr>
              <w:t>Към 31.12.2015г. по ПРСР 2014-2020 няма реализирани плащания, нито са налични поети задължения по мерките с плащания на площ. Процесът по обработка, одобрение и оторизация на подадените заявления приключи през 2016г.</w:t>
            </w:r>
          </w:p>
          <w:p w:rsidR="00A1205A" w:rsidRDefault="009E0DC1">
            <w:pPr>
              <w:spacing w:before="240" w:after="240"/>
              <w:jc w:val="left"/>
              <w:rPr>
                <w:szCs w:val="24"/>
              </w:rPr>
            </w:pPr>
            <w:r>
              <w:rPr>
                <w:szCs w:val="24"/>
              </w:rPr>
              <w:t>Към 31.12.2016г. не е завършен процесът по изплащане на заявените в 2016г. ангажименти.</w:t>
            </w:r>
          </w:p>
          <w:p w:rsidR="00A1205A" w:rsidRDefault="009E0DC1">
            <w:pPr>
              <w:spacing w:before="240" w:after="240"/>
              <w:jc w:val="left"/>
              <w:rPr>
                <w:szCs w:val="24"/>
              </w:rPr>
            </w:pPr>
            <w:r>
              <w:rPr>
                <w:b/>
                <w:bCs/>
                <w:szCs w:val="24"/>
              </w:rPr>
              <w:t xml:space="preserve">Подмярка 19.1 „Помощ за подготвителни дейности“ </w:t>
            </w:r>
          </w:p>
          <w:p w:rsidR="00A1205A" w:rsidRDefault="009E0DC1">
            <w:pPr>
              <w:spacing w:before="240" w:after="240"/>
              <w:jc w:val="left"/>
              <w:rPr>
                <w:szCs w:val="24"/>
              </w:rPr>
            </w:pPr>
            <w:r>
              <w:rPr>
                <w:szCs w:val="24"/>
              </w:rPr>
              <w:t>Проведени са два периода на прием по подмярката през 2015 г., като реалното изпълнение на дейностите е осъществено през 2016 г.</w:t>
            </w:r>
          </w:p>
          <w:p w:rsidR="00A1205A" w:rsidRDefault="009E0DC1">
            <w:pPr>
              <w:spacing w:before="240" w:after="240"/>
              <w:jc w:val="left"/>
              <w:rPr>
                <w:szCs w:val="24"/>
              </w:rPr>
            </w:pPr>
            <w:r>
              <w:rPr>
                <w:szCs w:val="24"/>
              </w:rPr>
              <w:t>В рамките на първия прием са постъпили 89 заявления за 2 305 668 евро. В техния обхват попадат териториите на 161 общини. Поради различни причини на етапа на проверка за административно съответствие и допустимост са отхвърлени 23 заявления, в които са включени териториите на 42 общини.</w:t>
            </w:r>
          </w:p>
          <w:p w:rsidR="00A1205A" w:rsidRDefault="009E0DC1">
            <w:pPr>
              <w:spacing w:before="240" w:after="240"/>
              <w:jc w:val="left"/>
              <w:rPr>
                <w:szCs w:val="24"/>
              </w:rPr>
            </w:pPr>
            <w:r>
              <w:rPr>
                <w:szCs w:val="24"/>
              </w:rPr>
              <w:t>Сключените договори по проведения прием са 66 на обща стойност 1 721 323 евро, в които за изпълнение на дейности по подмярката участваха 119 общини, обхващащи население от 1 592 743 жители.</w:t>
            </w:r>
          </w:p>
          <w:p w:rsidR="00A1205A" w:rsidRDefault="009E0DC1">
            <w:pPr>
              <w:spacing w:before="240" w:after="240"/>
              <w:jc w:val="left"/>
              <w:rPr>
                <w:szCs w:val="24"/>
              </w:rPr>
            </w:pPr>
            <w:r>
              <w:rPr>
                <w:szCs w:val="24"/>
              </w:rPr>
              <w:t>По втория прием по подмярка 19.1 са постъпили 44 заявления за 1  131 312 евро, в които участват 75 общини. От постъпилите заявления са отхвърлени 9 заявления, в които са включени териториите на 14 общини.</w:t>
            </w:r>
          </w:p>
          <w:p w:rsidR="00A1205A" w:rsidRDefault="009E0DC1">
            <w:pPr>
              <w:spacing w:before="240" w:after="240"/>
              <w:jc w:val="left"/>
              <w:rPr>
                <w:szCs w:val="24"/>
              </w:rPr>
            </w:pPr>
            <w:r>
              <w:rPr>
                <w:szCs w:val="24"/>
              </w:rPr>
              <w:t>Сключени са 35 договора на обща стойност 904 920евро, в които за изпълнение на дейности по подмярката ще участват 61 общини, обхващащи население от 716 876 жители.</w:t>
            </w:r>
          </w:p>
          <w:p w:rsidR="00A1205A" w:rsidRDefault="009E0DC1">
            <w:pPr>
              <w:spacing w:before="240" w:after="240"/>
              <w:jc w:val="left"/>
              <w:rPr>
                <w:szCs w:val="24"/>
              </w:rPr>
            </w:pPr>
            <w:r>
              <w:rPr>
                <w:szCs w:val="24"/>
              </w:rPr>
              <w:t>В резултат от изпълнението на подмярката са изпълнени 101 проекта с обща договорена стойност от 2,6 млн. евро. Проектите са изпълнени на територията на 180 общини с население от  2,3 млн. жители и територия от 74 433 кв. км, което представлява 78% от територията на селските райони на страната.</w:t>
            </w:r>
          </w:p>
          <w:p w:rsidR="00A1205A" w:rsidRDefault="009E0DC1">
            <w:pPr>
              <w:spacing w:before="240" w:after="240"/>
              <w:jc w:val="left"/>
              <w:rPr>
                <w:szCs w:val="24"/>
              </w:rPr>
            </w:pPr>
            <w:r>
              <w:rPr>
                <w:szCs w:val="24"/>
              </w:rPr>
              <w:t>Чрез изпълнените дейности от бенефициентите са организирани и проведени около 1200 публични събития (конференции, семинари, срещи, обучения и др.). </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 xml:space="preserve">Подмярка 19.2 „Прилагане на операции в рамките на стратегии за Водено от общностите местно развитие” </w:t>
            </w:r>
          </w:p>
          <w:p w:rsidR="00A1205A" w:rsidRDefault="009E0DC1">
            <w:pPr>
              <w:spacing w:before="240" w:after="240"/>
              <w:jc w:val="left"/>
              <w:rPr>
                <w:szCs w:val="24"/>
              </w:rPr>
            </w:pPr>
            <w:r>
              <w:rPr>
                <w:szCs w:val="24"/>
              </w:rPr>
              <w:t xml:space="preserve">Подготовка на изпълнението на подмярка 19.2 стратира през 2015 г. с провеждане на два приема на заявления за подпомагане по подмярка 19.1 „Помощ за подготовителни дейности“ в рамките на които постъпват общо 133 заявления. В последствие се пристъпва към одобрение на критериите за оценка на проекти по подмярка 19.2 в рамките на заседанието на Комитета по наблюдение на ПРСР, </w:t>
            </w:r>
            <w:r>
              <w:rPr>
                <w:szCs w:val="24"/>
              </w:rPr>
              <w:lastRenderedPageBreak/>
              <w:t>проведено на 21 май 2015 г.</w:t>
            </w:r>
          </w:p>
          <w:p w:rsidR="00A1205A" w:rsidRDefault="009E0DC1">
            <w:pPr>
              <w:spacing w:before="240" w:after="240"/>
              <w:jc w:val="left"/>
              <w:rPr>
                <w:szCs w:val="24"/>
              </w:rPr>
            </w:pPr>
            <w:r>
              <w:rPr>
                <w:szCs w:val="24"/>
              </w:rPr>
              <w:t>Въз основа на одобрените критерии за оценка се финализира работата по изготвяне на Наредба № 22 от 14 декември 2015 г. за прилагане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w:t>
            </w:r>
          </w:p>
          <w:p w:rsidR="00A1205A" w:rsidRDefault="009E0DC1">
            <w:pPr>
              <w:spacing w:before="240" w:after="240"/>
              <w:jc w:val="left"/>
              <w:rPr>
                <w:szCs w:val="24"/>
              </w:rPr>
            </w:pPr>
            <w:r>
              <w:rPr>
                <w:szCs w:val="24"/>
              </w:rPr>
              <w:t>На основание наредба № 22 от 14 декември 2015 г. е издадена заповед за стратиране на процедура за прием на заявления по подмярка 19.2 в периода 15 февруари – 31 май 2016 г. Бюджетът за приема по подмярка 19.2 „Прилагане на операции в рамките на стратегии за Водено от общностите местно развитие” на мярка 19 „Водено от общностите местно развитие” от оперативните програми е определен както следва:</w:t>
            </w:r>
          </w:p>
          <w:p w:rsidR="00A1205A" w:rsidRDefault="009E0DC1">
            <w:pPr>
              <w:spacing w:before="240" w:after="240"/>
              <w:jc w:val="left"/>
              <w:rPr>
                <w:szCs w:val="24"/>
              </w:rPr>
            </w:pPr>
            <w:r>
              <w:rPr>
                <w:b/>
                <w:bCs/>
                <w:szCs w:val="24"/>
              </w:rPr>
              <w:t>Таблица по М19.2</w:t>
            </w:r>
          </w:p>
          <w:p w:rsidR="00A1205A" w:rsidRDefault="009E0DC1">
            <w:pPr>
              <w:spacing w:before="240" w:after="240"/>
              <w:jc w:val="left"/>
              <w:rPr>
                <w:szCs w:val="24"/>
              </w:rPr>
            </w:pPr>
            <w:r>
              <w:rPr>
                <w:szCs w:val="24"/>
              </w:rPr>
              <w:t>В периода на прием на проекти до 31 май 2016 г. в УО на ПРСР са приети общо 53 бр. заявления за подбор на МИГ и одобрение на стратегии за ВОМР при условията и реда на Наредба № 22 от 14 декември 2015 г. за прилагане на подмярка 19.2 „Прилагане на операции в рамките на стратегии за Водено от общностите местно развитие” на мярка 19 „Водено от общностите местно развитие” от Програмата за развитие на селските райони за периода 2014-2020 г. (обн., ДВ, бр.100 от 18 декември 2015 г.).</w:t>
            </w:r>
          </w:p>
          <w:p w:rsidR="00A1205A" w:rsidRDefault="009E0DC1">
            <w:pPr>
              <w:spacing w:before="240" w:after="240"/>
              <w:jc w:val="left"/>
              <w:rPr>
                <w:szCs w:val="24"/>
              </w:rPr>
            </w:pPr>
            <w:r>
              <w:rPr>
                <w:szCs w:val="24"/>
              </w:rPr>
              <w:t>Подадените проектни предложения включват заявен бюджет в размер на 116 054 102 евро за изпълнение на проекти в рамките на Стратегиите за ВОМР от които:</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 по ЕЗФРСР (ПРСР) в размер на 74 284 008 евро</w:t>
            </w:r>
          </w:p>
          <w:p w:rsidR="00A1205A" w:rsidRDefault="009E0DC1">
            <w:pPr>
              <w:spacing w:before="240" w:after="240"/>
              <w:jc w:val="left"/>
              <w:rPr>
                <w:szCs w:val="24"/>
              </w:rPr>
            </w:pPr>
            <w:r>
              <w:rPr>
                <w:szCs w:val="24"/>
              </w:rPr>
              <w:t>- по ЕФРР (ОПОС) в размер на 1 702 842 евро</w:t>
            </w:r>
          </w:p>
          <w:p w:rsidR="00A1205A" w:rsidRDefault="009E0DC1">
            <w:pPr>
              <w:spacing w:before="240" w:after="240"/>
              <w:jc w:val="left"/>
              <w:rPr>
                <w:szCs w:val="24"/>
              </w:rPr>
            </w:pPr>
            <w:r>
              <w:rPr>
                <w:szCs w:val="24"/>
              </w:rPr>
              <w:t>- по ЕФРР (ОПИК) в размер на 21 876 193 евро</w:t>
            </w:r>
          </w:p>
          <w:p w:rsidR="00A1205A" w:rsidRDefault="009E0DC1">
            <w:pPr>
              <w:spacing w:before="240" w:after="240"/>
              <w:jc w:val="left"/>
              <w:rPr>
                <w:szCs w:val="24"/>
              </w:rPr>
            </w:pPr>
            <w:r>
              <w:rPr>
                <w:szCs w:val="24"/>
              </w:rPr>
              <w:t>- по ЕСФ (ОПРЧР) в размер на 18 191 059 евро</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От подадените Стратегии 23 са еднофондови и съдържат единствено мерки, финансирани чрез ЕЗФРСР. 28 от подадените стратегии включват мерки, предвидени за изпълнение в рамките на ОПРЧР, 24 от подадените стратегии предвиждат прилагане на мерки от ОПИК и 3 от подадените стратегии включват мерки от ОПОС.</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След извършения подбор на стратегии за ВОМР от комисия за избор, назначена със заповед на министъра на земеделието и храните на етап административно съответствие и допустимост са отхвърлени 11 заявления. На етап техническа оценка и след посещения на място са отхвърлени други 2 заявления.</w:t>
            </w:r>
          </w:p>
          <w:p w:rsidR="00A1205A" w:rsidRDefault="009E0DC1">
            <w:pPr>
              <w:spacing w:before="240" w:after="240"/>
              <w:jc w:val="left"/>
              <w:rPr>
                <w:szCs w:val="24"/>
              </w:rPr>
            </w:pPr>
            <w:r>
              <w:rPr>
                <w:szCs w:val="24"/>
              </w:rPr>
              <w:t xml:space="preserve">Останалите 40 стратегии за ВОМР, ангажиращи 57 488 222 евро от бюджета на ПРСР, 1 609 057 евро от бюджета на ОПОС (ЕФРР), 15 226 234 евро от бюджета на ОПИК (ЕФРР) и 11 116 957 евро от </w:t>
            </w:r>
            <w:r>
              <w:rPr>
                <w:szCs w:val="24"/>
              </w:rPr>
              <w:lastRenderedPageBreak/>
              <w:t>бюджета на ОПРЧР (ЕСФ) са одобрени за изпълнение към 31 декември 2016 г. Към края на година са сключени общо 37 договора за прилагане на стратегии за СВОМР в рамките на които са договорени 52 988 534 евро от ПРСР.</w:t>
            </w:r>
          </w:p>
          <w:p w:rsidR="00A1205A" w:rsidRDefault="009E0DC1">
            <w:pPr>
              <w:spacing w:before="240" w:after="240"/>
              <w:jc w:val="left"/>
              <w:rPr>
                <w:szCs w:val="24"/>
              </w:rPr>
            </w:pPr>
            <w:r>
              <w:rPr>
                <w:szCs w:val="24"/>
              </w:rPr>
              <w:t>Одобрените стратегии обхващат 74 общини от селските райони на Република България, в рамките на които от помощта ще бъдат облагодетелствани 1 047 819 жители.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 xml:space="preserve">Подмярка 19.3 „Подготовка и изпълнение на дейности за сътрудничество на МИГ“ </w:t>
            </w:r>
          </w:p>
          <w:p w:rsidR="00A1205A" w:rsidRDefault="009E0DC1">
            <w:pPr>
              <w:spacing w:before="240" w:after="240"/>
              <w:jc w:val="left"/>
              <w:rPr>
                <w:szCs w:val="24"/>
              </w:rPr>
            </w:pPr>
            <w:r>
              <w:rPr>
                <w:szCs w:val="24"/>
              </w:rPr>
              <w:t>През 2016 г. са одобрени критериите за оценка на проектите по подмярка 19.3 на заседание на Комитета за наблюдение, проведено на 09.12.2016 г., като през 2017 г. предстои стартиране на прилагането на подмярката.</w:t>
            </w:r>
          </w:p>
          <w:p w:rsidR="00A1205A" w:rsidRDefault="009E0DC1">
            <w:pPr>
              <w:spacing w:before="240" w:after="240"/>
              <w:jc w:val="left"/>
              <w:rPr>
                <w:szCs w:val="24"/>
              </w:rPr>
            </w:pPr>
            <w:r>
              <w:rPr>
                <w:b/>
                <w:bCs/>
                <w:szCs w:val="24"/>
              </w:rPr>
              <w:t>Подмярка 19.4 „Текущи разходи и популяризиране на стратегия за водено от общностите местно развитие“</w:t>
            </w:r>
          </w:p>
          <w:p w:rsidR="00A1205A" w:rsidRDefault="009E0DC1">
            <w:pPr>
              <w:spacing w:before="240" w:after="240"/>
              <w:jc w:val="left"/>
              <w:rPr>
                <w:szCs w:val="24"/>
              </w:rPr>
            </w:pPr>
            <w:r>
              <w:rPr>
                <w:szCs w:val="24"/>
              </w:rPr>
              <w:t>Общият финансов ресурс, за одобрените по първия прием на подмярка 19.2 местни инициативни групи  до края на програмния период, е 36,78 млн. лева. За календарната 2016 г. по подмярка 19.4 са подадени и одобрени 37 заявления за определяне на годишен бюджет. Одобрените бюджети за 2016 г. са на обща стойност 598 932 лева.</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 xml:space="preserve">Мярка 20 „Техническа помощ“ </w:t>
            </w:r>
          </w:p>
          <w:p w:rsidR="00A1205A" w:rsidRDefault="009E0DC1">
            <w:pPr>
              <w:spacing w:before="240" w:after="240"/>
              <w:jc w:val="left"/>
              <w:rPr>
                <w:szCs w:val="24"/>
              </w:rPr>
            </w:pPr>
            <w:r>
              <w:rPr>
                <w:szCs w:val="24"/>
              </w:rPr>
              <w:t>Към края на 2016 г. по мярката са постъпили 97 заявления с обща стойност 15,7 млн. евро. Сключени са 74 договора с общ размер на разходите от 10,9 млн. евро, по които е изплатена финансова помощ в размер на 4,22 млн. евро.</w:t>
            </w:r>
          </w:p>
          <w:p w:rsidR="00A1205A" w:rsidRDefault="009E0DC1">
            <w:pPr>
              <w:spacing w:before="240" w:after="240"/>
              <w:jc w:val="left"/>
              <w:rPr>
                <w:szCs w:val="24"/>
              </w:rPr>
            </w:pPr>
            <w:r>
              <w:rPr>
                <w:szCs w:val="24"/>
              </w:rPr>
              <w:t>Както и през програмния период 2007-2013 така и в рамките на ПРСР 2014-2020 мярката има ключова роля за прилагане на Програмата. Това е постигнато чрез дейности насочени към осигуряване на информираност и публичност на ПРСР, извършване на анализи, проучвания, изследвания и оценки, както и техническо обезпечение и възнаграждения за УО и РА.</w:t>
            </w:r>
          </w:p>
          <w:p w:rsidR="00A1205A" w:rsidRDefault="009E0DC1">
            <w:pPr>
              <w:spacing w:before="240" w:after="240"/>
              <w:jc w:val="left"/>
              <w:rPr>
                <w:szCs w:val="24"/>
              </w:rPr>
            </w:pPr>
            <w:r>
              <w:rPr>
                <w:b/>
                <w:bCs/>
                <w:szCs w:val="24"/>
                <w:u w:val="single"/>
              </w:rPr>
              <w:t>Към глава 10 - Изпълнение на финансовите инструменти.</w:t>
            </w:r>
          </w:p>
          <w:p w:rsidR="00A1205A" w:rsidRDefault="009E0DC1">
            <w:pPr>
              <w:spacing w:before="240" w:after="240"/>
              <w:jc w:val="left"/>
              <w:rPr>
                <w:szCs w:val="24"/>
              </w:rPr>
            </w:pPr>
            <w:r>
              <w:rPr>
                <w:szCs w:val="24"/>
              </w:rPr>
              <w:t>През месец март 2016 г. между Министерство на земеделието и храните и Национален Гаранционен Фонд ЕАД е подписано финансово споразумение, с което е създадена нова гаранционна схема, която има за цел улесняване на достъпа до кредитиране на земеделските стопани. Определен е първоначален бюджет по схемата в размер на 50 млн. лв., които представляват освободения ресурс от предоставените гаранции в рамките на действащата гаранционна схема в рамките на ПРСР 2007-2013 г., която приключи своето действие в края на 2015 г. и предоставяща възможност за издаване на гаранции на одобрени кандидати по мерки 121 и 123. Стартиралата през 2016 г. гаранционна схема осигурява достъп до кредити на земеделските стопани при по - добри лихвени условия и при намалено обезпечение на съответния кредит.</w:t>
            </w:r>
          </w:p>
          <w:p w:rsidR="00A1205A" w:rsidRDefault="009E0DC1">
            <w:pPr>
              <w:spacing w:before="240" w:after="240"/>
              <w:jc w:val="left"/>
              <w:rPr>
                <w:szCs w:val="24"/>
              </w:rPr>
            </w:pPr>
            <w:r>
              <w:rPr>
                <w:szCs w:val="24"/>
              </w:rPr>
              <w:t xml:space="preserve">В сравнение с действащата до края на 2015 г., схемата стартиралата през 2016 г. предоставя значително по разширен обхват по отоншение на земеделските стопани, които могат да се възползват от нея, като не е необходимо задължително да имат сключен договор по ПРСР. Схемата </w:t>
            </w:r>
            <w:r>
              <w:rPr>
                <w:szCs w:val="24"/>
              </w:rPr>
              <w:lastRenderedPageBreak/>
              <w:t>предлага и възможност за обезпечаване на кредити за оборотни средства или за гарантиране на авансови плащания при сключен договор с ДФЗ.</w:t>
            </w:r>
          </w:p>
          <w:p w:rsidR="00A1205A" w:rsidRDefault="009E0DC1">
            <w:pPr>
              <w:spacing w:before="240" w:after="240"/>
              <w:jc w:val="left"/>
              <w:rPr>
                <w:szCs w:val="24"/>
              </w:rPr>
            </w:pPr>
            <w:r>
              <w:rPr>
                <w:szCs w:val="24"/>
              </w:rPr>
              <w:t>Гаранционната схема се прилага посредством 18 финансиращи институции, които имат сключени гаранционни споразумения, като стартирането и в началото на 2016 г. осигури възможност на първите бенефициенти по подмерки 4.1 и 4.2 със сключени договори да се възползват от тази възможност, получавайки гаранции в размер до 50 на сто от стойността на отпуснатите кредити.</w:t>
            </w:r>
          </w:p>
          <w:p w:rsidR="00A1205A" w:rsidRDefault="009E0DC1">
            <w:pPr>
              <w:spacing w:before="240" w:after="240"/>
              <w:jc w:val="left"/>
              <w:rPr>
                <w:szCs w:val="24"/>
              </w:rPr>
            </w:pPr>
            <w:r>
              <w:rPr>
                <w:szCs w:val="24"/>
              </w:rPr>
              <w:t>През 2016 г. не е стартиран финансов инструмент в рамките на бюджето на ПРСР 2014-2020 г.</w:t>
            </w:r>
          </w:p>
          <w:p w:rsidR="00A1205A" w:rsidRDefault="009E0DC1">
            <w:pPr>
              <w:spacing w:before="240" w:after="240"/>
              <w:jc w:val="left"/>
              <w:rPr>
                <w:szCs w:val="24"/>
              </w:rPr>
            </w:pPr>
            <w:r>
              <w:rPr>
                <w:szCs w:val="24"/>
              </w:rPr>
              <w:t>В края на 2016 г. е приключила роботата по „Извършване на предварителна оценка на финансови инструменти, които ще се прилагат през следващия програмен период”, като е представен доклад изготвен от избрания изпълнител по договор сключен на 06.11.2015 г. между изпълнителя и министерство на земеделието и храните. Основната цел на предварителната оценка на финансовите инструменти по ПРСР 2014 – 2020 г. е  да се анализира и обоснове необходимостта от прилагането на финансови инструменти през програмния период, да се оцени тяхната приложимост спрямо идентифицираните пазарни проблеми, пазарни неуспехи и неоптимални инвестиционни ситуации и да се анализира, доколко те ще подобрят инвестиционната ситуация и ще допринесат за изпълнението на приоритетите на ПРСР 2014 – 2020 г. В предварителната оценка е посочено, че управлението на една бъдеще гаранционната схема може да бъде делегирано на дружество Фонд мениджър на финансовите инструменти. Изборът на финансови посредници ще се направи на конкурентен принцип, чрез обществена поръчка и ще се избере финансовата институция – гаранционен фонд, който да издава гаранции по кредитите на банки.</w:t>
            </w:r>
          </w:p>
          <w:p w:rsidR="00A1205A" w:rsidRDefault="009E0DC1">
            <w:pPr>
              <w:spacing w:before="240" w:after="240"/>
              <w:jc w:val="left"/>
              <w:rPr>
                <w:szCs w:val="24"/>
              </w:rPr>
            </w:pPr>
            <w:r>
              <w:rPr>
                <w:szCs w:val="24"/>
              </w:rPr>
              <w:t>Към края на 2016 г. действа схемата с национални средства, осигуряваща възможнст на земеделските стопани да получат кредитиране ползвайки гаранции и наличие на облекчени уславия.</w:t>
            </w:r>
          </w:p>
          <w:p w:rsidR="00A1205A" w:rsidRDefault="009E0DC1">
            <w:pPr>
              <w:spacing w:before="240" w:after="240"/>
              <w:jc w:val="left"/>
              <w:rPr>
                <w:szCs w:val="24"/>
              </w:rPr>
            </w:pPr>
            <w:r>
              <w:rPr>
                <w:szCs w:val="24"/>
              </w:rPr>
              <w:t>Резултатите от прилагането на схемата в първата година от прилагането и ще предоставят възможност да се вземе решение за бъдещото прилагане на финансов инструмент със средства от бюджета на ПРСР 2014-2020. Тъй като действащата нацонална схема стартира практически в средата на 2016 г., когато все още нивото на договаряне на бюджета по двете основни подмерки 4.1 и 4.2 е твърде ниско, в рамките на 2016 г. не може да се отчете ефекта от нейното прилагане. Такава оценка може да се направи на база завършени проекти към 2017 г. с натрупване.</w:t>
            </w:r>
          </w:p>
          <w:p w:rsidR="00A1205A" w:rsidRDefault="00A1205A">
            <w:pPr>
              <w:pStyle w:val="BodyText"/>
            </w:pPr>
          </w:p>
          <w:p w:rsidR="00A1205A" w:rsidRDefault="008F1982">
            <w:pPr>
              <w:pStyle w:val="BodyText3"/>
              <w:jc w:val="left"/>
            </w:pPr>
            <w:r>
              <w:rPr>
                <w:noProof/>
                <w:lang w:val="en-US"/>
              </w:rPr>
              <w:lastRenderedPageBreak/>
              <w:pict>
                <v:shape id="Picture 100003" o:spid="_x0000_i1025" type="#_x0000_t75" style="width:522pt;height:260.25pt;visibility:visible;mso-wrap-style:square">
                  <v:imagedata r:id="rId14" o:title=""/>
                </v:shape>
              </w:pict>
            </w:r>
          </w:p>
          <w:p w:rsidR="00A1205A" w:rsidRDefault="009E0DC1">
            <w:pPr>
              <w:pStyle w:val="Footer"/>
              <w:jc w:val="center"/>
            </w:pPr>
            <w:r>
              <w:t>Таблица1</w:t>
            </w:r>
          </w:p>
          <w:p w:rsidR="00A1205A" w:rsidRDefault="008F1982">
            <w:pPr>
              <w:pStyle w:val="Footer"/>
            </w:pPr>
            <w:r>
              <w:rPr>
                <w:noProof/>
                <w:lang w:val="en-US"/>
              </w:rPr>
              <w:pict>
                <v:shape id="Picture 100004" o:spid="_x0000_i1026" type="#_x0000_t75" style="width:522pt;height:260.25pt;visibility:visible;mso-wrap-style:square">
                  <v:imagedata r:id="rId15" o:title=""/>
                </v:shape>
              </w:pict>
            </w:r>
          </w:p>
          <w:p w:rsidR="00A1205A" w:rsidRDefault="009E0DC1">
            <w:pPr>
              <w:pStyle w:val="Footer"/>
              <w:jc w:val="center"/>
            </w:pPr>
            <w:r>
              <w:t>Таблица 2</w:t>
            </w:r>
          </w:p>
          <w:p w:rsidR="00A1205A" w:rsidRDefault="008F1982">
            <w:pPr>
              <w:pStyle w:val="Footer"/>
            </w:pPr>
            <w:r>
              <w:rPr>
                <w:noProof/>
                <w:lang w:val="en-US"/>
              </w:rPr>
              <w:lastRenderedPageBreak/>
              <w:pict>
                <v:shape id="Picture 100005" o:spid="_x0000_i1027" type="#_x0000_t75" style="width:522pt;height:260.25pt;visibility:visible;mso-wrap-style:square">
                  <v:imagedata r:id="rId16" o:title=""/>
                </v:shape>
              </w:pict>
            </w:r>
          </w:p>
          <w:p w:rsidR="00A1205A" w:rsidRDefault="009E0DC1">
            <w:pPr>
              <w:pStyle w:val="Footer"/>
              <w:jc w:val="center"/>
            </w:pPr>
            <w:r>
              <w:t>Таблица 3</w:t>
            </w:r>
          </w:p>
          <w:p w:rsidR="00A1205A" w:rsidRDefault="008F1982">
            <w:pPr>
              <w:pStyle w:val="Footer"/>
            </w:pPr>
            <w:r>
              <w:rPr>
                <w:noProof/>
                <w:lang w:val="en-US"/>
              </w:rPr>
              <w:pict>
                <v:shape id="Picture 100006" o:spid="_x0000_i1028" type="#_x0000_t75" style="width:522pt;height:260.25pt;visibility:visible;mso-wrap-style:square">
                  <v:imagedata r:id="rId17" o:title=""/>
                </v:shape>
              </w:pict>
            </w:r>
          </w:p>
          <w:p w:rsidR="00A1205A" w:rsidRDefault="009E0DC1">
            <w:pPr>
              <w:pStyle w:val="Footer"/>
              <w:jc w:val="center"/>
            </w:pPr>
            <w:r>
              <w:t>Таблица 4</w:t>
            </w:r>
          </w:p>
          <w:p w:rsidR="00A1205A" w:rsidRDefault="008F1982">
            <w:pPr>
              <w:pStyle w:val="Footer"/>
            </w:pPr>
            <w:r>
              <w:rPr>
                <w:noProof/>
                <w:lang w:val="en-US"/>
              </w:rPr>
              <w:lastRenderedPageBreak/>
              <w:pict>
                <v:shape id="Picture 100007" o:spid="_x0000_i1029" type="#_x0000_t75" style="width:522pt;height:260.25pt;visibility:visible;mso-wrap-style:square">
                  <v:imagedata r:id="rId18" o:title=""/>
                </v:shape>
              </w:pict>
            </w:r>
          </w:p>
          <w:p w:rsidR="00A1205A" w:rsidRDefault="009E0DC1">
            <w:pPr>
              <w:pStyle w:val="Footer"/>
              <w:jc w:val="center"/>
            </w:pPr>
            <w:r>
              <w:t>Таблица 5</w:t>
            </w:r>
          </w:p>
          <w:p w:rsidR="00A1205A" w:rsidRDefault="008F1982">
            <w:pPr>
              <w:pStyle w:val="Footer"/>
            </w:pPr>
            <w:r>
              <w:rPr>
                <w:noProof/>
                <w:lang w:val="en-US"/>
              </w:rPr>
              <w:pict>
                <v:shape id="Picture 100008" o:spid="_x0000_i1030" type="#_x0000_t75" style="width:522pt;height:260.25pt;visibility:visible;mso-wrap-style:square">
                  <v:imagedata r:id="rId19" o:title=""/>
                </v:shape>
              </w:pict>
            </w:r>
          </w:p>
          <w:p w:rsidR="00A1205A" w:rsidRDefault="009E0DC1">
            <w:pPr>
              <w:pStyle w:val="Footer"/>
              <w:jc w:val="center"/>
            </w:pPr>
            <w:r>
              <w:t>Таблица 6</w:t>
            </w:r>
          </w:p>
          <w:p w:rsidR="00A1205A" w:rsidRDefault="008F1982">
            <w:pPr>
              <w:pStyle w:val="Footer"/>
            </w:pPr>
            <w:r>
              <w:rPr>
                <w:noProof/>
                <w:lang w:val="en-US"/>
              </w:rPr>
              <w:lastRenderedPageBreak/>
              <w:pict>
                <v:shape id="Picture 100009" o:spid="_x0000_i1031" type="#_x0000_t75" style="width:522pt;height:260.25pt;visibility:visible;mso-wrap-style:square">
                  <v:imagedata r:id="rId20" o:title=""/>
                </v:shape>
              </w:pict>
            </w:r>
          </w:p>
          <w:p w:rsidR="00A1205A" w:rsidRDefault="009E0DC1">
            <w:pPr>
              <w:pStyle w:val="Footer"/>
              <w:jc w:val="center"/>
            </w:pPr>
            <w:r>
              <w:t>Таблица 7.1</w:t>
            </w:r>
          </w:p>
          <w:p w:rsidR="00A1205A" w:rsidRDefault="008F1982">
            <w:pPr>
              <w:pStyle w:val="Footer"/>
            </w:pPr>
            <w:r>
              <w:rPr>
                <w:noProof/>
                <w:lang w:val="en-US"/>
              </w:rPr>
              <w:pict>
                <v:shape id="Picture 100010" o:spid="_x0000_i1032" type="#_x0000_t75" style="width:522pt;height:260.25pt;visibility:visible;mso-wrap-style:square">
                  <v:imagedata r:id="rId21" o:title=""/>
                </v:shape>
              </w:pict>
            </w:r>
          </w:p>
          <w:p w:rsidR="00A1205A" w:rsidRDefault="009E0DC1">
            <w:pPr>
              <w:pStyle w:val="Footer"/>
              <w:jc w:val="center"/>
            </w:pPr>
            <w:r>
              <w:t>Таблица 7</w:t>
            </w:r>
          </w:p>
          <w:p w:rsidR="00A1205A" w:rsidRDefault="008F1982">
            <w:pPr>
              <w:pStyle w:val="Footer"/>
            </w:pPr>
            <w:r>
              <w:rPr>
                <w:noProof/>
                <w:lang w:val="en-US"/>
              </w:rPr>
              <w:lastRenderedPageBreak/>
              <w:pict>
                <v:shape id="Picture 100011" o:spid="_x0000_i1033" type="#_x0000_t75" style="width:522pt;height:260.25pt;visibility:visible;mso-wrap-style:square">
                  <v:imagedata r:id="rId22" o:title=""/>
                </v:shape>
              </w:pict>
            </w:r>
          </w:p>
          <w:p w:rsidR="00A1205A" w:rsidRDefault="009E0DC1">
            <w:pPr>
              <w:pStyle w:val="Footer"/>
              <w:jc w:val="center"/>
            </w:pPr>
            <w:r>
              <w:t>Таблица 8</w:t>
            </w:r>
          </w:p>
          <w:p w:rsidR="00A1205A" w:rsidRDefault="008F1982">
            <w:pPr>
              <w:pStyle w:val="Footer"/>
            </w:pPr>
            <w:r>
              <w:rPr>
                <w:noProof/>
                <w:lang w:val="en-US"/>
              </w:rPr>
              <w:pict>
                <v:shape id="Picture 100012" o:spid="_x0000_i1034" type="#_x0000_t75" style="width:522pt;height:260.25pt;visibility:visible;mso-wrap-style:square">
                  <v:imagedata r:id="rId23" o:title=""/>
                </v:shape>
              </w:pict>
            </w:r>
          </w:p>
          <w:p w:rsidR="00A1205A" w:rsidRDefault="009E0DC1">
            <w:pPr>
              <w:pStyle w:val="Footer"/>
              <w:jc w:val="center"/>
            </w:pPr>
            <w:r>
              <w:t>Таблица 9</w:t>
            </w:r>
          </w:p>
          <w:p w:rsidR="00A1205A" w:rsidRDefault="008F1982">
            <w:pPr>
              <w:pStyle w:val="Footer"/>
            </w:pPr>
            <w:r>
              <w:rPr>
                <w:noProof/>
                <w:lang w:val="en-US"/>
              </w:rPr>
              <w:lastRenderedPageBreak/>
              <w:pict>
                <v:shape id="Picture 100013" o:spid="_x0000_i1035" type="#_x0000_t75" style="width:522pt;height:260.25pt;visibility:visible;mso-wrap-style:square">
                  <v:imagedata r:id="rId24" o:title=""/>
                </v:shape>
              </w:pict>
            </w:r>
          </w:p>
          <w:p w:rsidR="00A1205A" w:rsidRDefault="009E0DC1">
            <w:pPr>
              <w:pStyle w:val="Footer"/>
              <w:jc w:val="center"/>
            </w:pPr>
            <w:r>
              <w:t>Таблица 10</w:t>
            </w:r>
          </w:p>
          <w:p w:rsidR="00A1205A" w:rsidRDefault="008F1982">
            <w:pPr>
              <w:pStyle w:val="Footer"/>
            </w:pPr>
            <w:r>
              <w:rPr>
                <w:noProof/>
                <w:lang w:val="en-US"/>
              </w:rPr>
              <w:pict>
                <v:shape id="Picture 100014" o:spid="_x0000_i1036" type="#_x0000_t75" style="width:522pt;height:260.25pt;visibility:visible;mso-wrap-style:square">
                  <v:imagedata r:id="rId25" o:title=""/>
                </v:shape>
              </w:pict>
            </w:r>
          </w:p>
          <w:p w:rsidR="00A1205A" w:rsidRDefault="009E0DC1">
            <w:pPr>
              <w:pStyle w:val="Footer"/>
              <w:jc w:val="center"/>
            </w:pPr>
            <w:r>
              <w:t>Таблица 10.1</w:t>
            </w:r>
          </w:p>
          <w:p w:rsidR="00A1205A" w:rsidRDefault="008F1982">
            <w:pPr>
              <w:pStyle w:val="Footer"/>
            </w:pPr>
            <w:r>
              <w:rPr>
                <w:noProof/>
                <w:lang w:val="en-US"/>
              </w:rPr>
              <w:lastRenderedPageBreak/>
              <w:pict>
                <v:shape id="Picture 100015" o:spid="_x0000_i1037" type="#_x0000_t75" style="width:522pt;height:260.25pt;visibility:visible;mso-wrap-style:square">
                  <v:imagedata r:id="rId26" o:title=""/>
                </v:shape>
              </w:pict>
            </w:r>
          </w:p>
          <w:p w:rsidR="00A1205A" w:rsidRDefault="009E0DC1">
            <w:pPr>
              <w:pStyle w:val="Footer"/>
              <w:jc w:val="center"/>
            </w:pPr>
            <w:r>
              <w:t>Таблица 11</w:t>
            </w:r>
          </w:p>
          <w:p w:rsidR="00A1205A" w:rsidRDefault="008F1982">
            <w:pPr>
              <w:pStyle w:val="Footer"/>
            </w:pPr>
            <w:r>
              <w:rPr>
                <w:noProof/>
                <w:lang w:val="en-US"/>
              </w:rPr>
              <w:pict>
                <v:shape id="Picture 100016" o:spid="_x0000_i1038" type="#_x0000_t75" style="width:522pt;height:260.25pt;visibility:visible;mso-wrap-style:square">
                  <v:imagedata r:id="rId27" o:title=""/>
                </v:shape>
              </w:pict>
            </w:r>
          </w:p>
          <w:p w:rsidR="00A1205A" w:rsidRDefault="009E0DC1">
            <w:pPr>
              <w:pStyle w:val="Footer"/>
              <w:jc w:val="center"/>
            </w:pPr>
            <w:r>
              <w:t>Таблица 12</w:t>
            </w:r>
          </w:p>
          <w:p w:rsidR="00A1205A" w:rsidRDefault="008F1982">
            <w:pPr>
              <w:pStyle w:val="Footer"/>
            </w:pPr>
            <w:r>
              <w:rPr>
                <w:noProof/>
                <w:lang w:val="en-US"/>
              </w:rPr>
              <w:lastRenderedPageBreak/>
              <w:pict>
                <v:shape id="Picture 100017" o:spid="_x0000_i1039" type="#_x0000_t75" style="width:522pt;height:260.25pt;visibility:visible;mso-wrap-style:square">
                  <v:imagedata r:id="rId28" o:title=""/>
                </v:shape>
              </w:pict>
            </w:r>
          </w:p>
          <w:p w:rsidR="00A1205A" w:rsidRDefault="009E0DC1">
            <w:pPr>
              <w:pStyle w:val="Footer"/>
              <w:jc w:val="center"/>
            </w:pPr>
            <w:r>
              <w:t>Таблица по М7.2</w:t>
            </w:r>
          </w:p>
          <w:p w:rsidR="00A1205A" w:rsidRDefault="008F1982">
            <w:pPr>
              <w:pStyle w:val="Footer"/>
            </w:pPr>
            <w:r>
              <w:rPr>
                <w:noProof/>
                <w:lang w:val="en-US"/>
              </w:rPr>
              <w:pict>
                <v:shape id="Picture 100018" o:spid="_x0000_i1040" type="#_x0000_t75" style="width:522pt;height:260.25pt;visibility:visible;mso-wrap-style:square">
                  <v:imagedata r:id="rId29" o:title=""/>
                </v:shape>
              </w:pict>
            </w:r>
          </w:p>
          <w:p w:rsidR="00A1205A" w:rsidRDefault="009E0DC1">
            <w:pPr>
              <w:pStyle w:val="Footer"/>
              <w:jc w:val="center"/>
            </w:pPr>
            <w:r>
              <w:t>Таблица по М19.2</w:t>
            </w:r>
          </w:p>
          <w:p w:rsidR="00A1205A" w:rsidRDefault="008F1982">
            <w:pPr>
              <w:pStyle w:val="Footer"/>
            </w:pPr>
            <w:r>
              <w:rPr>
                <w:noProof/>
                <w:lang w:val="en-US"/>
              </w:rPr>
              <w:lastRenderedPageBreak/>
              <w:pict>
                <v:shape id="Picture 100019" o:spid="_x0000_i1041" type="#_x0000_t75" style="width:522pt;height:260.25pt;visibility:visible;mso-wrap-style:square">
                  <v:imagedata r:id="rId30" o:title=""/>
                </v:shape>
              </w:pict>
            </w:r>
          </w:p>
          <w:p w:rsidR="00A1205A" w:rsidRDefault="009E0DC1">
            <w:pPr>
              <w:pStyle w:val="Footer"/>
              <w:jc w:val="center"/>
            </w:pPr>
            <w:r>
              <w:t>Таблица 13</w:t>
            </w:r>
          </w:p>
          <w:p w:rsidR="00A1205A" w:rsidRDefault="008F1982">
            <w:pPr>
              <w:pStyle w:val="Footer"/>
            </w:pPr>
            <w:r>
              <w:rPr>
                <w:noProof/>
                <w:lang w:val="en-US"/>
              </w:rPr>
              <w:pict>
                <v:shape id="Picture 100020" o:spid="_x0000_i1042" type="#_x0000_t75" style="width:522pt;height:260.25pt;visibility:visible;mso-wrap-style:square">
                  <v:imagedata r:id="rId31" o:title=""/>
                </v:shape>
              </w:pict>
            </w:r>
          </w:p>
          <w:p w:rsidR="00A1205A" w:rsidRDefault="009E0DC1">
            <w:pPr>
              <w:pStyle w:val="Footer"/>
              <w:jc w:val="center"/>
            </w:pPr>
            <w:r>
              <w:t>Таблица 14</w:t>
            </w:r>
          </w:p>
          <w:p w:rsidR="00A1205A" w:rsidRDefault="008F1982">
            <w:pPr>
              <w:pStyle w:val="Footer"/>
            </w:pPr>
            <w:r>
              <w:rPr>
                <w:noProof/>
                <w:lang w:val="en-US"/>
              </w:rPr>
              <w:lastRenderedPageBreak/>
              <w:pict>
                <v:shape id="Picture 100021" o:spid="_x0000_i1043" type="#_x0000_t75" style="width:522pt;height:260.25pt;visibility:visible;mso-wrap-style:square">
                  <v:imagedata r:id="rId32" o:title=""/>
                </v:shape>
              </w:pict>
            </w:r>
          </w:p>
          <w:p w:rsidR="00A1205A" w:rsidRDefault="009E0DC1">
            <w:pPr>
              <w:pStyle w:val="Footer"/>
              <w:jc w:val="center"/>
            </w:pPr>
            <w:r>
              <w:t>Талица 15</w:t>
            </w:r>
          </w:p>
          <w:p w:rsidR="00A1205A" w:rsidRDefault="008F1982">
            <w:pPr>
              <w:pStyle w:val="Footer"/>
            </w:pPr>
            <w:r>
              <w:rPr>
                <w:noProof/>
                <w:lang w:val="en-US"/>
              </w:rPr>
              <w:pict>
                <v:shape id="Picture 100022" o:spid="_x0000_i1044" type="#_x0000_t75" style="width:522pt;height:260.25pt;visibility:visible;mso-wrap-style:square">
                  <v:imagedata r:id="rId33" o:title=""/>
                </v:shape>
              </w:pict>
            </w:r>
          </w:p>
          <w:p w:rsidR="00A1205A" w:rsidRDefault="009E0DC1">
            <w:pPr>
              <w:pStyle w:val="Footer"/>
              <w:jc w:val="center"/>
            </w:pPr>
            <w:r>
              <w:t>Таблица 16</w:t>
            </w:r>
          </w:p>
          <w:p w:rsidR="00A1205A" w:rsidRDefault="008F1982">
            <w:pPr>
              <w:pStyle w:val="Footer"/>
            </w:pPr>
            <w:r>
              <w:rPr>
                <w:noProof/>
                <w:lang w:val="en-US"/>
              </w:rPr>
              <w:lastRenderedPageBreak/>
              <w:pict>
                <v:shape id="Picture 100023" o:spid="_x0000_i1045" type="#_x0000_t75" style="width:522pt;height:260.25pt;visibility:visible;mso-wrap-style:square">
                  <v:imagedata r:id="rId34" o:title=""/>
                </v:shape>
              </w:pict>
            </w:r>
          </w:p>
          <w:p w:rsidR="00A1205A" w:rsidRDefault="009E0DC1">
            <w:pPr>
              <w:pStyle w:val="Footer"/>
              <w:jc w:val="center"/>
            </w:pPr>
            <w:r>
              <w:t>Таблица 17</w:t>
            </w:r>
          </w:p>
          <w:p w:rsidR="00A1205A" w:rsidRDefault="008F1982">
            <w:pPr>
              <w:pStyle w:val="Footer"/>
            </w:pPr>
            <w:r>
              <w:rPr>
                <w:noProof/>
                <w:lang w:val="en-US"/>
              </w:rPr>
              <w:pict>
                <v:shape id="Picture 100024" o:spid="_x0000_i1046" type="#_x0000_t75" style="width:522pt;height:260.25pt;visibility:visible;mso-wrap-style:square">
                  <v:imagedata r:id="rId35" o:title=""/>
                </v:shape>
              </w:pict>
            </w:r>
          </w:p>
          <w:p w:rsidR="00A1205A" w:rsidRDefault="009E0DC1">
            <w:pPr>
              <w:pStyle w:val="Footer"/>
              <w:jc w:val="center"/>
            </w:pPr>
            <w:r>
              <w:t>Таблица 18</w:t>
            </w:r>
          </w:p>
          <w:p w:rsidR="00A1205A" w:rsidRDefault="00A1205A">
            <w:pPr>
              <w:pStyle w:val="Footer"/>
              <w:jc w:val="center"/>
            </w:pPr>
          </w:p>
        </w:tc>
      </w:tr>
    </w:tbl>
    <w:p w:rsidR="00A1205A" w:rsidRDefault="009E0DC1">
      <w:pPr>
        <w:pStyle w:val="Heading2"/>
      </w:pPr>
      <w:bookmarkStart w:id="6" w:name="_Toc256000005"/>
      <w:r>
        <w:lastRenderedPageBreak/>
        <w:t>Ключова информация относно постиженията във връзка с етапните цели, определени в рамката на изпълнението въз основа на таблица Е</w:t>
      </w:r>
      <w:bookmarkEnd w:id="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A1205A">
        <w:tc>
          <w:tcPr>
            <w:tcW w:w="750" w:type="pct"/>
            <w:shd w:val="clear" w:color="auto" w:fill="auto"/>
            <w:vAlign w:val="center"/>
          </w:tcPr>
          <w:p w:rsidR="00A1205A" w:rsidRDefault="009E0DC1">
            <w:pPr>
              <w:spacing w:before="0" w:after="240"/>
              <w:jc w:val="left"/>
              <w:rPr>
                <w:szCs w:val="24"/>
              </w:rPr>
            </w:pPr>
            <w:r>
              <w:rPr>
                <w:b/>
                <w:bCs/>
                <w:szCs w:val="24"/>
              </w:rPr>
              <w:t>Приоритет 2:</w:t>
            </w:r>
          </w:p>
          <w:p w:rsidR="00A1205A" w:rsidRDefault="009E0DC1">
            <w:pPr>
              <w:spacing w:before="240" w:after="240"/>
              <w:jc w:val="left"/>
              <w:rPr>
                <w:szCs w:val="24"/>
              </w:rPr>
            </w:pPr>
            <w:r>
              <w:rPr>
                <w:szCs w:val="24"/>
              </w:rPr>
              <w:lastRenderedPageBreak/>
              <w:t>Предвидените междинни стойности на показателите по втори приоритет към 31 декември 2016 г. изглеждат постижими, но предвид факта, че отчитането на резултати е базирано на проекти с получено окончателно плащане /завършени прокети/ не би могло да се гарантира на 100 % успешното изпълнение.</w:t>
            </w:r>
          </w:p>
          <w:p w:rsidR="00A1205A" w:rsidRDefault="009E0DC1">
            <w:pPr>
              <w:spacing w:before="240" w:after="240"/>
              <w:jc w:val="left"/>
              <w:rPr>
                <w:szCs w:val="24"/>
              </w:rPr>
            </w:pPr>
            <w:r>
              <w:rPr>
                <w:szCs w:val="24"/>
              </w:rPr>
              <w:t>Заложената междинна цел по отношение на индикатор „</w:t>
            </w:r>
            <w:r>
              <w:rPr>
                <w:i/>
                <w:iCs/>
                <w:szCs w:val="24"/>
              </w:rPr>
              <w:t>Брой на земеделски стопанства с подпомагане от ПРСР за инвестиции в преструктуриране и модернизация (област с поставен акцент 2А) + стопанства с бизнес план за развитие/инвестиция за млади земеделски стопани, подпомагани по линия на ПРСР (област с поставен акцент 2Б)</w:t>
            </w:r>
            <w:r>
              <w:rPr>
                <w:szCs w:val="24"/>
              </w:rPr>
              <w:t>” е за 1 640 приключени проекти към 31 декември 2018 г.</w:t>
            </w:r>
          </w:p>
          <w:p w:rsidR="00A1205A" w:rsidRDefault="009E0DC1">
            <w:pPr>
              <w:spacing w:before="240" w:after="240"/>
              <w:jc w:val="left"/>
              <w:rPr>
                <w:szCs w:val="24"/>
              </w:rPr>
            </w:pPr>
            <w:r>
              <w:rPr>
                <w:szCs w:val="24"/>
              </w:rPr>
              <w:t>В тази връзка към 31 декември 2016 г. са сключени 764 договора /803/ за предоставяне на финансова помощ по подмярка 4.1 „Инвестиции в земеделски стопанства“ и 1 373 /1 542/ договора за подпомагане по подмярка 6.1 „Стартова помощ за млади земеделски стопани“. Също така предстои обработка на заявления за подпомагане по подмярка 4.1, постъпили в периода на прием през 26 октомври – 7 декември 2016 г. Резултатите от проведените приеми по мярка 121 „Модернизиране на земеделските стопанства“ от ПРСР 2007-2013 г. показват, че проектите, предвиждащи инвестиции в закупуване на земеделска техника и оборудване се изпълняват средно за срок от 1 година.</w:t>
            </w:r>
          </w:p>
          <w:p w:rsidR="00A1205A" w:rsidRDefault="009E0DC1">
            <w:pPr>
              <w:spacing w:before="240" w:after="240"/>
              <w:jc w:val="left"/>
              <w:rPr>
                <w:szCs w:val="24"/>
              </w:rPr>
            </w:pPr>
            <w:r>
              <w:rPr>
                <w:szCs w:val="24"/>
              </w:rPr>
              <w:t>От друга страна проектите, включващи строително-монтажни работи изискват по-дълго време за изпълнение на дейностите и въвеждане в експлоатация. В тази връзка е необходимо да се предприемат действия за ускорено разглеждане на заявленията на подпомагане, постъпили в периода на прием през 2016 г. с цел осигуряване на възможност за тяхното изпълнение и заявяване за окончателни плащания до края на 2018 г.</w:t>
            </w:r>
          </w:p>
          <w:p w:rsidR="00A1205A" w:rsidRDefault="009E0DC1">
            <w:pPr>
              <w:spacing w:before="240" w:after="240"/>
              <w:jc w:val="left"/>
              <w:rPr>
                <w:szCs w:val="24"/>
              </w:rPr>
            </w:pPr>
            <w:r>
              <w:rPr>
                <w:szCs w:val="24"/>
              </w:rPr>
              <w:t>Предвидените в договорите за финансови сакции в случай на неизпълнение на сключените договори дисциплинират ползвателите на финансова помощ, които се стремят да изпълнят инвестициите си във възможно най-кратки срокове, което се явява добра мярка в контекста на постигане на междинните цели на рамката за изпълнение.</w:t>
            </w:r>
          </w:p>
          <w:p w:rsidR="00A1205A" w:rsidRDefault="009E0DC1">
            <w:pPr>
              <w:spacing w:before="240" w:after="240"/>
              <w:jc w:val="left"/>
              <w:rPr>
                <w:szCs w:val="24"/>
              </w:rPr>
            </w:pPr>
            <w:r>
              <w:rPr>
                <w:szCs w:val="24"/>
              </w:rPr>
              <w:t>По отношение изпълнението на подмярка 6.1 „Стартова помощ за млади земеделски стопани“ към края на 2016 г. са извършени само първите плащания към одобрените кандидати, а вторите плащания са планирани да започнат 2018 г.  На база данните от 2018 г. ще може да се направи оценка за изпълненито.</w:t>
            </w:r>
          </w:p>
          <w:p w:rsidR="00A1205A" w:rsidRDefault="009E0DC1">
            <w:pPr>
              <w:spacing w:before="240" w:after="240"/>
              <w:jc w:val="left"/>
              <w:rPr>
                <w:szCs w:val="24"/>
              </w:rPr>
            </w:pPr>
            <w:r>
              <w:rPr>
                <w:szCs w:val="24"/>
              </w:rPr>
              <w:t>В допълнение към края на 2016 г. е представен индикативен график за прием на заявления за подпомагане по мерките от ПРСР за 2017 г. съгласно който се предвижда стратиране на подмярка 4.1.2 „Инвестиции в земеделски стопанства“ от Тематичната подпрограма за малки земеделски стопанства. Отчитайки финансовите параметри, заложени в рамките на подмярката предполагащи реализацията на инвестиции до 25 000 евро се очаква малките стопанства да реализират проекти основно за закупуване на техника, които ще се изпълняват за сравнително кратък период от време. Това от своя страна ще допринесе за постигане на заложената междинна цел.</w:t>
            </w:r>
          </w:p>
          <w:p w:rsidR="00A1205A" w:rsidRDefault="009E0DC1">
            <w:pPr>
              <w:spacing w:before="240" w:after="240"/>
              <w:jc w:val="left"/>
              <w:rPr>
                <w:szCs w:val="24"/>
              </w:rPr>
            </w:pPr>
            <w:r>
              <w:rPr>
                <w:szCs w:val="24"/>
              </w:rPr>
              <w:t>По отнощение на индикатор „Общо публични разходи П2 (в евро)” поради високия среден размер на одобрените разходи/респективно размера на финансовата помощ не се очертава затруднение във връзка с постигането на междинната цел от разплатени 92 983 050 евро.</w:t>
            </w:r>
          </w:p>
          <w:p w:rsidR="00A1205A" w:rsidRDefault="009E0DC1">
            <w:pPr>
              <w:spacing w:before="240" w:after="240"/>
              <w:jc w:val="left"/>
              <w:rPr>
                <w:szCs w:val="24"/>
              </w:rPr>
            </w:pPr>
            <w:r>
              <w:rPr>
                <w:b/>
                <w:bCs/>
                <w:szCs w:val="24"/>
              </w:rPr>
              <w:t>Приоритет 3:</w:t>
            </w:r>
          </w:p>
          <w:p w:rsidR="00A1205A" w:rsidRDefault="009E0DC1">
            <w:pPr>
              <w:spacing w:before="240" w:after="240"/>
              <w:jc w:val="left"/>
              <w:rPr>
                <w:szCs w:val="24"/>
              </w:rPr>
            </w:pPr>
            <w:r>
              <w:rPr>
                <w:szCs w:val="24"/>
              </w:rPr>
              <w:t>На лице е риск от неизпълнение на индикатор „</w:t>
            </w:r>
            <w:r>
              <w:rPr>
                <w:i/>
                <w:iCs/>
                <w:szCs w:val="24"/>
              </w:rPr>
              <w:t xml:space="preserve">Брой на земеделските стопанства, получаващи </w:t>
            </w:r>
            <w:r>
              <w:rPr>
                <w:i/>
                <w:iCs/>
                <w:szCs w:val="24"/>
              </w:rPr>
              <w:lastRenderedPageBreak/>
              <w:t>подпомагане по схеми за качество, за местни пазари/ къси вериги на доставки и групи на производителите</w:t>
            </w:r>
            <w:r>
              <w:rPr>
                <w:szCs w:val="24"/>
              </w:rPr>
              <w:t xml:space="preserve"> (3A)“ поради факта, че към 31 декември 2016 г. не е стартирано изпълнението на мярка 9 „Създаване на групи/организации на производители“ и мярка 16 „Сътрудничество“, които се очаква да окажат въздействие по отношение на междинната стойността на индикатора от 90 земеделски стопанства. В тази връзка е необходимо да бъдат предприети навременни действия за стартиране на съответните мерки.</w:t>
            </w:r>
          </w:p>
          <w:p w:rsidR="00A1205A" w:rsidRDefault="009E0DC1">
            <w:pPr>
              <w:spacing w:before="240" w:after="240"/>
              <w:jc w:val="left"/>
              <w:rPr>
                <w:szCs w:val="24"/>
              </w:rPr>
            </w:pPr>
            <w:r>
              <w:rPr>
                <w:szCs w:val="24"/>
              </w:rPr>
              <w:t>Към 31 декември 2016 г. данните от проведения период на прием показват, че потенциален проблем ще се окаже и показателя „</w:t>
            </w:r>
            <w:r>
              <w:rPr>
                <w:i/>
                <w:iCs/>
                <w:szCs w:val="24"/>
              </w:rPr>
              <w:t>Брой операции подпомогнати по M4 "Инвестиции във физически активи" за преработка и маркетинг на земеделска продукция</w:t>
            </w:r>
            <w:r>
              <w:rPr>
                <w:szCs w:val="24"/>
              </w:rPr>
              <w:t>“.</w:t>
            </w:r>
          </w:p>
          <w:p w:rsidR="00A1205A" w:rsidRDefault="009E0DC1">
            <w:pPr>
              <w:spacing w:before="240" w:after="240"/>
              <w:jc w:val="left"/>
              <w:rPr>
                <w:szCs w:val="24"/>
              </w:rPr>
            </w:pPr>
            <w:r>
              <w:rPr>
                <w:szCs w:val="24"/>
              </w:rPr>
              <w:t>Заложеният индикатор от 1 555 получатели на помощ за преработка/маркетинг на селскостопански продукти е нереалистичен и въз основа на данните за среден размер на едно проектно предложение от проведения период на прием по подмярка 4.2 „Инвестиции в преработка/маркетинг на селскостопански продукти“ и остатъчните средства в рамките на подмярка 4.2  се налага извода, че неговото изпълнение на практика е невъзможно.</w:t>
            </w:r>
          </w:p>
          <w:p w:rsidR="00A1205A" w:rsidRDefault="009E0DC1">
            <w:pPr>
              <w:spacing w:before="240" w:after="240"/>
              <w:jc w:val="left"/>
              <w:rPr>
                <w:szCs w:val="24"/>
              </w:rPr>
            </w:pPr>
            <w:r>
              <w:rPr>
                <w:szCs w:val="24"/>
              </w:rPr>
              <w:t>Принос към изпълнението на ПРСР се очаква да окаже и подмярка 4.2.2 от Тематичната подпрограма за малки земеделски стопанства. Към 31 декември 2016 г. подмярката не е стартирала своето изпълнение, заложеният индикатор за брой земеделски стопанства възползващи се от помощта и сроковете за изпълнение на проекти от такъв тип подлагат под съмнение приноса на Тематичната подпрограма за изпълнение на индикатора към 31 декември 2018 г.</w:t>
            </w:r>
          </w:p>
          <w:p w:rsidR="00A1205A" w:rsidRDefault="009E0DC1">
            <w:pPr>
              <w:spacing w:before="240" w:after="240"/>
              <w:jc w:val="left"/>
              <w:rPr>
                <w:szCs w:val="24"/>
              </w:rPr>
            </w:pPr>
            <w:r>
              <w:rPr>
                <w:szCs w:val="24"/>
              </w:rPr>
              <w:t>От страна на УО на ПРСР са предприети действия за промяна на финансовите параметри по подмярка 4.2 но въпреки това заложената стойност на индикатора остава трудно постижима.</w:t>
            </w:r>
          </w:p>
          <w:p w:rsidR="00A1205A" w:rsidRDefault="009E0DC1">
            <w:pPr>
              <w:spacing w:before="240" w:after="240"/>
              <w:jc w:val="left"/>
              <w:rPr>
                <w:szCs w:val="24"/>
              </w:rPr>
            </w:pPr>
            <w:r>
              <w:rPr>
                <w:szCs w:val="24"/>
              </w:rPr>
              <w:t>По отношение на междинната стойност на индикатора за общ размер на публичните разходи (54 580 807 евро) към 31 декември 2018 г. не се очаква неизпълнение предвид на договорените финансови средства по проекти по подмярка 4.2 „Инвестиции в преработка/маркетинг на селскостопански продукти“ и сроковете за тяхното изпълнение.</w:t>
            </w:r>
          </w:p>
          <w:p w:rsidR="00A1205A" w:rsidRDefault="009E0DC1">
            <w:pPr>
              <w:spacing w:before="240" w:after="240"/>
              <w:jc w:val="left"/>
              <w:rPr>
                <w:szCs w:val="24"/>
              </w:rPr>
            </w:pPr>
            <w:r>
              <w:rPr>
                <w:szCs w:val="24"/>
              </w:rPr>
              <w:t>В тази връзка предвид на минималната стойност от 311 приключени проекта към 31 декември 2018 г. е необходимо предприемане на действия от страна на УО за преразглеждане на първоначално заложения индикатор в ПРСР или постигането му чрез мерки свързани с осигуряване на допълнителен финансов ресур за подкрепа на подобни операции, които да бъдат реализирани в рамките на 2018 г. Следва да се анализира възможността за осигуряването на допълнителни средства за подкрепа на операции за преработка и маркетинг на селскостопански продукти в рамките на разполагаемия бюджет на мярка 4, за сметка на нестартиралите подмерки.</w:t>
            </w:r>
          </w:p>
          <w:p w:rsidR="00A1205A" w:rsidRDefault="009E0DC1">
            <w:pPr>
              <w:spacing w:before="240" w:after="240"/>
              <w:jc w:val="left"/>
              <w:rPr>
                <w:szCs w:val="24"/>
              </w:rPr>
            </w:pPr>
            <w:r>
              <w:rPr>
                <w:b/>
                <w:bCs/>
                <w:szCs w:val="24"/>
              </w:rPr>
              <w:t>Приоритет 4:</w:t>
            </w:r>
          </w:p>
          <w:p w:rsidR="00A1205A" w:rsidRDefault="009E0DC1">
            <w:pPr>
              <w:spacing w:before="240" w:after="240"/>
              <w:jc w:val="left"/>
              <w:rPr>
                <w:szCs w:val="24"/>
              </w:rPr>
            </w:pPr>
            <w:r>
              <w:rPr>
                <w:szCs w:val="24"/>
              </w:rPr>
              <w:t>Заложените междинните цели по Приоритет 4 се очаква да бъдат изпълнени към 31 декември 2018 г., на база данните по отншение на поетите ангажименти и отчетения интерес към така наречените компесанторни мерки от ПРСР.</w:t>
            </w:r>
          </w:p>
          <w:p w:rsidR="00A1205A" w:rsidRDefault="009E0DC1">
            <w:pPr>
              <w:spacing w:before="240" w:after="240"/>
              <w:jc w:val="left"/>
              <w:rPr>
                <w:szCs w:val="24"/>
              </w:rPr>
            </w:pPr>
            <w:r>
              <w:rPr>
                <w:b/>
                <w:bCs/>
                <w:szCs w:val="24"/>
              </w:rPr>
              <w:t>Приоритет 5</w:t>
            </w:r>
            <w:r>
              <w:rPr>
                <w:szCs w:val="24"/>
              </w:rPr>
              <w:t>:</w:t>
            </w:r>
          </w:p>
          <w:p w:rsidR="00A1205A" w:rsidRDefault="009E0DC1">
            <w:pPr>
              <w:spacing w:before="240" w:after="240"/>
              <w:jc w:val="left"/>
              <w:rPr>
                <w:szCs w:val="24"/>
              </w:rPr>
            </w:pPr>
            <w:r>
              <w:rPr>
                <w:szCs w:val="24"/>
              </w:rPr>
              <w:t>Изпълнението на индикатор „</w:t>
            </w:r>
            <w:r>
              <w:rPr>
                <w:i/>
                <w:iCs/>
                <w:szCs w:val="24"/>
              </w:rPr>
              <w:t>Брой на инвестиционните операции в енергоспестяването и енергийната ефективност (5Б) + Брой на инвестиционните операции в производство на енергия от възобновяеми източници (5В</w:t>
            </w:r>
            <w:r>
              <w:rPr>
                <w:szCs w:val="24"/>
              </w:rPr>
              <w:t xml:space="preserve">)“ ще бъде затруднено поради ниския интерес от страна на кандидатите </w:t>
            </w:r>
            <w:r>
              <w:rPr>
                <w:szCs w:val="24"/>
              </w:rPr>
              <w:lastRenderedPageBreak/>
              <w:t>по подмярка 4.1 „Инвестиции в земеделски стопанства“ и подмярка 4.2 „Инвестиции в преработка/маркетинг на селскостопански продукти“ към инвестиции във ВЕИ.</w:t>
            </w:r>
          </w:p>
          <w:p w:rsidR="00A1205A" w:rsidRDefault="009E0DC1">
            <w:pPr>
              <w:spacing w:before="240" w:after="240"/>
              <w:jc w:val="left"/>
              <w:rPr>
                <w:szCs w:val="24"/>
              </w:rPr>
            </w:pPr>
            <w:r>
              <w:rPr>
                <w:szCs w:val="24"/>
              </w:rPr>
              <w:t>От друга страна броят на одобрените проекти, с включени инвестиции за повишаване на енергийната ефективност в рамките на стопанството или предприятието по подмерки 4.1 и 4.2 предполага изпълнение на индикатора. Изпълнението на целевите стойности по индикатора зависят от навременно изпълнението и отчитане на проектните предложения.</w:t>
            </w:r>
          </w:p>
          <w:p w:rsidR="00A1205A" w:rsidRDefault="009E0DC1">
            <w:pPr>
              <w:spacing w:before="240" w:after="240"/>
              <w:jc w:val="left"/>
              <w:rPr>
                <w:szCs w:val="24"/>
              </w:rPr>
            </w:pPr>
            <w:r>
              <w:rPr>
                <w:szCs w:val="24"/>
              </w:rPr>
              <w:t>Изпълнението на индикаторът „</w:t>
            </w:r>
            <w:r>
              <w:rPr>
                <w:i/>
                <w:iCs/>
                <w:szCs w:val="24"/>
              </w:rPr>
              <w:t>Земеделски и горски земи под управление за насърчаване на поглъщането/съхраняването на въглерод (ha) (5Д) + Земеделска земя, обхваната от договори за управление с цел намаляване на емисиите на парникови газове и/или на амоняк (ha) (5Г) + Поливни площи, преминаващи към по-ефективни напоителни системи (ha) (5А</w:t>
            </w:r>
            <w:r>
              <w:rPr>
                <w:szCs w:val="24"/>
              </w:rPr>
              <w:t>)“ е под риск, поради не стартирането на подмярка 4.3 „Инвестиции в селскостопанска инфраструктура“ и по - късното включване на инвестициите за напояване в обхвата на подмярка 4.1 „Инвестиции в земеделски стопанства“, които биха могли да бъдат отнесени към Приоритет 5.</w:t>
            </w:r>
          </w:p>
          <w:p w:rsidR="00A1205A" w:rsidRDefault="009E0DC1">
            <w:pPr>
              <w:spacing w:before="240" w:after="240"/>
              <w:jc w:val="left"/>
              <w:rPr>
                <w:szCs w:val="24"/>
              </w:rPr>
            </w:pPr>
            <w:r>
              <w:rPr>
                <w:b/>
                <w:bCs/>
                <w:szCs w:val="24"/>
              </w:rPr>
              <w:t>Приоритет 6:</w:t>
            </w:r>
          </w:p>
          <w:p w:rsidR="00A1205A" w:rsidRDefault="009E0DC1">
            <w:pPr>
              <w:spacing w:before="240" w:after="240"/>
              <w:jc w:val="left"/>
              <w:rPr>
                <w:szCs w:val="24"/>
              </w:rPr>
            </w:pPr>
            <w:r>
              <w:rPr>
                <w:szCs w:val="24"/>
              </w:rPr>
              <w:t>По шести приоритет е идентифициран риск за усвояването на общия обем на публичните разходи, който индикатор почти изцяло зависи от приключването на проектите по мярка 7 „Основни услуги и обновяване на селата в селските райони“, по която към края на 2016 г. все още не са сключени договори за финансова помощ. Проблемът произтича от времето, необходимо за финализиране на един проект, подпомогнат по мярка  7 „Основни услуги и обновяване на селата в селските райони“ във връзка с необходимостта от провеждане на обществени поръчки от страна на ползвателите на финансова помощ.</w:t>
            </w:r>
          </w:p>
          <w:p w:rsidR="00A1205A" w:rsidRDefault="009E0DC1">
            <w:pPr>
              <w:spacing w:before="240" w:after="240"/>
              <w:jc w:val="left"/>
              <w:rPr>
                <w:szCs w:val="24"/>
              </w:rPr>
            </w:pPr>
            <w:r>
              <w:rPr>
                <w:szCs w:val="24"/>
              </w:rPr>
              <w:t>В тази връзка постигането на междинните целеви стойности на индикатори „Общо публични разходи П6” и „Брой операции, подпомогнати с цел подобряване на основни услуги и инфраструктура в селските райони (области с поставен акцент 6Б и 6В)“ въз основа на приключени проекти с подадено окончателно, плащане предвид сроковете, необходими за финализиране на проектните предложения, ще се окаже предизвикателство.</w:t>
            </w:r>
          </w:p>
          <w:p w:rsidR="00A1205A" w:rsidRDefault="009E0DC1">
            <w:pPr>
              <w:spacing w:before="240" w:after="240"/>
              <w:jc w:val="left"/>
              <w:rPr>
                <w:szCs w:val="24"/>
              </w:rPr>
            </w:pPr>
            <w:r>
              <w:rPr>
                <w:szCs w:val="24"/>
              </w:rPr>
              <w:t>От друга страна индикаторът „Население, обхванато от местни групи за действие (област с поставен акцент 6Б)” чиито заложен показател възлиза на 1 370 000 жители се очаква да бъде изпълнен тъй като обхванатото население в рамките на одобрените стратегии за местно развитие, представлява над 76 % от заложената цел. През 2017 г. се предвижда стратиране на нов прием по подмярка 19.2, въз основа на одобрените проектни предложения от които да бъде нахвърлен заложения показател в рамките на Приоритет 6.</w:t>
            </w:r>
          </w:p>
          <w:p w:rsidR="00A1205A" w:rsidRDefault="00A1205A">
            <w:pPr>
              <w:pStyle w:val="BodyText"/>
            </w:pPr>
          </w:p>
        </w:tc>
      </w:tr>
    </w:tbl>
    <w:p w:rsidR="00A1205A" w:rsidRDefault="009E0DC1">
      <w:pPr>
        <w:pStyle w:val="Heading2"/>
      </w:pPr>
      <w:bookmarkStart w:id="7" w:name="_Toc256000006"/>
      <w:r>
        <w:lastRenderedPageBreak/>
        <w:t>Друг конкретен елемент по ПРСР [незадължително]</w:t>
      </w:r>
      <w:bookmarkEnd w:id="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A1205A">
        <w:tc>
          <w:tcPr>
            <w:tcW w:w="750" w:type="pct"/>
            <w:shd w:val="clear" w:color="auto" w:fill="auto"/>
            <w:vAlign w:val="center"/>
          </w:tcPr>
          <w:p w:rsidR="00A1205A" w:rsidRDefault="009E0DC1">
            <w:pPr>
              <w:spacing w:before="0" w:after="240"/>
              <w:jc w:val="left"/>
              <w:rPr>
                <w:szCs w:val="24"/>
              </w:rPr>
            </w:pPr>
            <w:r>
              <w:rPr>
                <w:b/>
                <w:bCs/>
                <w:szCs w:val="24"/>
                <w:u w:val="single"/>
              </w:rPr>
              <w:t>Към глава 10 - Изпълнение на финансовите инструменти.</w:t>
            </w:r>
          </w:p>
          <w:p w:rsidR="00A1205A" w:rsidRDefault="009E0DC1">
            <w:pPr>
              <w:spacing w:before="240" w:after="240"/>
              <w:jc w:val="left"/>
              <w:rPr>
                <w:szCs w:val="24"/>
              </w:rPr>
            </w:pPr>
            <w:r>
              <w:rPr>
                <w:szCs w:val="24"/>
              </w:rPr>
              <w:t xml:space="preserve">През месец март 2016 г. между Министерство на земеделието и храните и Национален Гаранционен Фонд ЕАД е подписано финансово споразумение, с което е създадена нова гаранционна схема, която има за цел улесняване на достъпа до кредитиране на земеделските стопани. Определен е първоначален бюджет по схемата в размер на 50 млн. лв., които представляват освободения ресурс </w:t>
            </w:r>
            <w:r>
              <w:rPr>
                <w:szCs w:val="24"/>
              </w:rPr>
              <w:lastRenderedPageBreak/>
              <w:t>от предоставените гаранции в рамките на действащата гаранционна схема в рамките на ПРСР 2007-2013 г., която приключи своето действие в края на 2015 г. и предоставяща възможност за издаване на гаранции на одобрени кандидати по мерки 121 и 123. Стартиралата през 2016 г. гаранционна схема осигурява достъп до кредити на земеделските стопани при по - добри лихвени условия и при намалено обезпечение на съответния кредит.</w:t>
            </w:r>
          </w:p>
          <w:p w:rsidR="00A1205A" w:rsidRDefault="009E0DC1">
            <w:pPr>
              <w:spacing w:before="240" w:after="240"/>
              <w:jc w:val="left"/>
              <w:rPr>
                <w:szCs w:val="24"/>
              </w:rPr>
            </w:pPr>
            <w:r>
              <w:rPr>
                <w:szCs w:val="24"/>
              </w:rPr>
              <w:t>В сравнение с действащата до края на 2015 г., схемата стартиралата през 2016 г. предоставя значително по разширен обхват по отоншение на земеделските стопани, които могат да се възползват от нея, като не е необходимо задължително да имат сключен договор по ПРСР. Схемата предлага и възможност за обезпечаване на кредити за оборотни средства или за гарантиране на авансови плащания при сключен договор с ДФЗ.</w:t>
            </w:r>
          </w:p>
          <w:p w:rsidR="00A1205A" w:rsidRDefault="009E0DC1">
            <w:pPr>
              <w:spacing w:before="240" w:after="240"/>
              <w:jc w:val="left"/>
              <w:rPr>
                <w:szCs w:val="24"/>
              </w:rPr>
            </w:pPr>
            <w:r>
              <w:rPr>
                <w:szCs w:val="24"/>
              </w:rPr>
              <w:t>Гаранционната схема се прилага посредством 18 финансиращи институции, които имат сключени гаранционни споразумения, като стартирането и в началото на 2016 г. осигури възможност на първите бенефициенти по подмерки 4.1 и 4.2 със сключени договори да се възползват от тази възможност, получавайки гаранции в размер до 50 на сто от стойността на отпуснатите кредити.</w:t>
            </w:r>
          </w:p>
          <w:p w:rsidR="00A1205A" w:rsidRDefault="009E0DC1">
            <w:pPr>
              <w:spacing w:before="240" w:after="240"/>
              <w:jc w:val="left"/>
              <w:rPr>
                <w:szCs w:val="24"/>
              </w:rPr>
            </w:pPr>
            <w:r>
              <w:rPr>
                <w:szCs w:val="24"/>
              </w:rPr>
              <w:t>През 2016 г. не е стартиран финансов инструмент в рамките на бюджето на ПРСР 2014-2020 г.</w:t>
            </w:r>
          </w:p>
          <w:p w:rsidR="00A1205A" w:rsidRDefault="009E0DC1">
            <w:pPr>
              <w:spacing w:before="240" w:after="240"/>
              <w:jc w:val="left"/>
              <w:rPr>
                <w:szCs w:val="24"/>
              </w:rPr>
            </w:pPr>
            <w:r>
              <w:rPr>
                <w:szCs w:val="24"/>
              </w:rPr>
              <w:t>В края на 2016 г. е приключила роботата по „Извършване на предварителна оценка на финансови инструменти, които ще се прилагат през следващия програмен период”, като е представен доклад изготвен от избрания изпълнител по договор сключен на 06.11.2015 г. между изпълнителя и министерство на земеделието и храните. Основната цел на предварителната оценка на финансовите инструменти по ПРСР 2014 – 2020 г. е  да се анализира и обоснове необходимостта от прилагането на финансови инструменти през програмния период, да се оцени тяхната приложимост спрямо идентифицираните пазарни проблеми, пазарни неуспехи и неоптимални инвестиционни ситуации и да се анализира, доколко те ще подобрят инвестиционната ситуация и ще допринесат за изпълнението на приоритетите на ПРСР 2014 – 2020 г. В предварителната оценка е посочено, че управлението на една бъдеще гаранционната схема може да бъде делегирано на дружество Фонд мениджър на финансовите инструменти. Изборът на финансови посредници ще се направи на конкурентен принцип, чрез обществена поръчка и ще се избере финансовата институция – гаранционен фонд, който да издава гаранции по кредитите на банки.</w:t>
            </w:r>
          </w:p>
          <w:p w:rsidR="00A1205A" w:rsidRDefault="009E0DC1">
            <w:pPr>
              <w:spacing w:before="240" w:after="240"/>
              <w:jc w:val="left"/>
              <w:rPr>
                <w:szCs w:val="24"/>
              </w:rPr>
            </w:pPr>
            <w:r>
              <w:rPr>
                <w:szCs w:val="24"/>
              </w:rPr>
              <w:t>Към края на 2016 г. действа схемата с национални средства, осигуряваща възможнст на земеделските стопани да получат кредитиране ползвайки гаранции и наличие на облекчени уславия.</w:t>
            </w:r>
          </w:p>
          <w:p w:rsidR="00A1205A" w:rsidRDefault="009E0DC1">
            <w:pPr>
              <w:spacing w:before="240" w:after="240"/>
              <w:jc w:val="left"/>
              <w:rPr>
                <w:szCs w:val="24"/>
              </w:rPr>
            </w:pPr>
            <w:r>
              <w:rPr>
                <w:szCs w:val="24"/>
              </w:rPr>
              <w:t>Резултатите от прилагането на схемата в първата година от прилагането и ще предоставят възможност да се вземе решение за бъдещото прилагане на финансов инструмент със средства от бюджета на ПРСР 2014-2020. Тъй като действащата нацонална схема стартира практически в средата на 2016 г., когато все още нивото на договаряне на бюджета по двете основни подмерки 4.1 и 4.2 е твърде ниско, в рамките на 2016 г. не може да се отчете ефекта от нейното прилагане. Такава оценка може да се направи на база завършени проекти към 2017 г. с натрупване.</w:t>
            </w:r>
          </w:p>
          <w:p w:rsidR="00A1205A" w:rsidRDefault="00A1205A">
            <w:pPr>
              <w:pStyle w:val="BodyText"/>
            </w:pPr>
          </w:p>
        </w:tc>
      </w:tr>
    </w:tbl>
    <w:p w:rsidR="00A1205A" w:rsidRDefault="00A1205A">
      <w:pPr>
        <w:sectPr w:rsidR="00A1205A">
          <w:pgSz w:w="12240" w:h="15840"/>
          <w:pgMar w:top="900" w:right="900" w:bottom="900" w:left="900" w:header="720" w:footer="720" w:gutter="0"/>
          <w:cols w:space="720"/>
        </w:sectPr>
      </w:pPr>
    </w:p>
    <w:p w:rsidR="00A1205A" w:rsidRDefault="009E0DC1">
      <w:pPr>
        <w:pStyle w:val="Heading1"/>
      </w:pPr>
      <w:bookmarkStart w:id="8" w:name="_Toc256000007"/>
      <w:r>
        <w:lastRenderedPageBreak/>
        <w:t>Напредъкът в изпълнението на плана за оценка</w:t>
      </w:r>
      <w:bookmarkEnd w:id="8"/>
    </w:p>
    <w:p w:rsidR="00A1205A" w:rsidRDefault="009E0DC1">
      <w:pPr>
        <w:pStyle w:val="Heading2"/>
      </w:pPr>
      <w:bookmarkStart w:id="9" w:name="_Toc256000008"/>
      <w:r>
        <w:t>Описание на евентуални изменения, направени в плана за оценка на ПРСР през годината, със съответната обосновка</w:t>
      </w:r>
      <w:bookmarkEnd w:id="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A1205A">
        <w:tc>
          <w:tcPr>
            <w:tcW w:w="750" w:type="pct"/>
            <w:shd w:val="clear" w:color="auto" w:fill="auto"/>
            <w:vAlign w:val="center"/>
          </w:tcPr>
          <w:p w:rsidR="00A1205A" w:rsidRDefault="009E0DC1">
            <w:pPr>
              <w:spacing w:before="0" w:after="240"/>
              <w:jc w:val="left"/>
              <w:rPr>
                <w:szCs w:val="24"/>
              </w:rPr>
            </w:pPr>
            <w:r>
              <w:rPr>
                <w:szCs w:val="24"/>
              </w:rPr>
              <w:t>През 2016 г. не са правени изменения.</w:t>
            </w:r>
          </w:p>
          <w:p w:rsidR="00A1205A" w:rsidRDefault="00A1205A">
            <w:pPr>
              <w:pStyle w:val="BodyText"/>
            </w:pPr>
          </w:p>
        </w:tc>
      </w:tr>
    </w:tbl>
    <w:p w:rsidR="00A1205A" w:rsidRDefault="009E0DC1">
      <w:pPr>
        <w:pStyle w:val="Heading2"/>
      </w:pPr>
      <w:bookmarkStart w:id="10" w:name="_Toc256000009"/>
      <w:r>
        <w:t>Описание на предприетите дейности за оценка през годината (във връзка с раздел 3 на плана за оценка)</w:t>
      </w:r>
      <w:bookmarkEnd w:id="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A1205A">
        <w:tc>
          <w:tcPr>
            <w:tcW w:w="750" w:type="pct"/>
            <w:shd w:val="clear" w:color="auto" w:fill="auto"/>
            <w:vAlign w:val="center"/>
          </w:tcPr>
          <w:p w:rsidR="00A1205A" w:rsidRDefault="009E0DC1">
            <w:pPr>
              <w:spacing w:before="0" w:after="240"/>
              <w:jc w:val="left"/>
              <w:rPr>
                <w:szCs w:val="24"/>
              </w:rPr>
            </w:pPr>
            <w:r>
              <w:rPr>
                <w:szCs w:val="24"/>
              </w:rPr>
              <w:t>Към края на 2016 г. не е извършена Последващата оценка на ПРСР 2007-2013. През годината УО е разработил задание за изготвяне на оценката и е стартирана процедура за избор на изпълнител, но такъв не е избран поради обжалване на обявенета процедура, което на практика е спряло нейното изпълнение.</w:t>
            </w:r>
          </w:p>
          <w:p w:rsidR="00A1205A" w:rsidRDefault="009E0DC1">
            <w:pPr>
              <w:spacing w:before="240" w:after="240"/>
              <w:jc w:val="left"/>
              <w:rPr>
                <w:szCs w:val="24"/>
              </w:rPr>
            </w:pPr>
            <w:r>
              <w:rPr>
                <w:szCs w:val="24"/>
              </w:rPr>
              <w:t>В края на 2016 г. предвид липсата на избран изпълнител за изготвяне на Последващата оценка УО на ПРСР е разработил анализ и изводи за прилагането на ПРСР за периода 2007-2013, който е представен пред ЕК. В рамките на анализа са обследвани резултатите, постигнати по всички приоритетни оси на Програмата.</w:t>
            </w:r>
          </w:p>
          <w:p w:rsidR="00A1205A" w:rsidRDefault="00A1205A">
            <w:pPr>
              <w:pStyle w:val="BodyText"/>
            </w:pPr>
          </w:p>
        </w:tc>
      </w:tr>
    </w:tbl>
    <w:p w:rsidR="00A1205A" w:rsidRDefault="009E0DC1">
      <w:pPr>
        <w:pStyle w:val="Heading2"/>
      </w:pPr>
      <w:bookmarkStart w:id="11" w:name="_Toc256000010"/>
      <w:r>
        <w:t>Описание на дейностите, предприети по отношение на предоставянето и управлението на данни (във връзка с раздел 4 на плана за оценка)</w:t>
      </w:r>
      <w:bookmarkEnd w:id="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56"/>
      </w:tblGrid>
      <w:tr w:rsidR="00A1205A">
        <w:tc>
          <w:tcPr>
            <w:tcW w:w="750" w:type="pct"/>
            <w:shd w:val="clear" w:color="auto" w:fill="auto"/>
            <w:vAlign w:val="center"/>
          </w:tcPr>
          <w:p w:rsidR="00A1205A" w:rsidRDefault="009E0DC1">
            <w:pPr>
              <w:spacing w:before="0" w:after="240"/>
              <w:jc w:val="left"/>
              <w:rPr>
                <w:szCs w:val="24"/>
              </w:rPr>
            </w:pPr>
            <w:r>
              <w:rPr>
                <w:szCs w:val="24"/>
              </w:rPr>
              <w:t>Предварително условие 7 и неговото изпълнение е в компетенциите на Националния статистически институт (НСИ), съвместно с Управляващите органи. По  всяка от одобрените от Европейската комисия (ЕК)  програми е необходимо да се разработи ръководство за бенефициентите за изискванията и процедурите за  събирането на микроданни, за приложимите методологии и дефиниции и за приложимата процедура за обработка и обобщаване на данните. В тази връзка НСИ е разработил унифициран документ за метаданните в съответствие със структурата за справочни метаданни на Евростат.</w:t>
            </w:r>
          </w:p>
          <w:p w:rsidR="00A1205A" w:rsidRDefault="009E0DC1">
            <w:pPr>
              <w:spacing w:before="240" w:after="240"/>
              <w:jc w:val="left"/>
              <w:rPr>
                <w:szCs w:val="24"/>
              </w:rPr>
            </w:pPr>
            <w:r>
              <w:rPr>
                <w:szCs w:val="24"/>
              </w:rPr>
              <w:t>С оглед изпълнението на предварителното условие през 2016 г. са проведени редица срещи между представителите на НСИ и Управляващият орган на ПРСР за периода 2014-2020 година.</w:t>
            </w:r>
          </w:p>
          <w:p w:rsidR="00A1205A" w:rsidRDefault="009E0DC1">
            <w:pPr>
              <w:spacing w:before="240" w:after="240"/>
              <w:jc w:val="left"/>
              <w:rPr>
                <w:szCs w:val="24"/>
              </w:rPr>
            </w:pPr>
            <w:r>
              <w:rPr>
                <w:szCs w:val="24"/>
              </w:rPr>
              <w:t>От страна на УО на ПРСР е сключен договор с външен изпълнител за изготвяне и попълване на макетите с метаданни за целевите показатели. Целта на договора е да се изработят бланки за метаданни в контекста на ПРСР 2014-2020. В хода на работата е предвидено за ПРСР 2014 - 2020 да се докладва напредъка по стратегическите приоритети за развитие на селските райони въз основата на 22 от 24-те целеви индикатори предвидени в Регламент №808/2014.</w:t>
            </w:r>
          </w:p>
          <w:p w:rsidR="00A1205A" w:rsidRDefault="009E0DC1">
            <w:pPr>
              <w:spacing w:before="240" w:after="240"/>
              <w:jc w:val="left"/>
              <w:rPr>
                <w:szCs w:val="24"/>
              </w:rPr>
            </w:pPr>
            <w:r>
              <w:rPr>
                <w:szCs w:val="24"/>
              </w:rPr>
              <w:t>Преобладаващата част от данните в разработените макети се предвижда да се събират на база данните от проекните предложения въведени в ИСАК.</w:t>
            </w:r>
          </w:p>
          <w:p w:rsidR="00A1205A" w:rsidRDefault="009E0DC1">
            <w:pPr>
              <w:spacing w:before="240" w:after="240"/>
              <w:jc w:val="left"/>
              <w:rPr>
                <w:szCs w:val="24"/>
              </w:rPr>
            </w:pPr>
            <w:r>
              <w:rPr>
                <w:szCs w:val="24"/>
              </w:rPr>
              <w:lastRenderedPageBreak/>
              <w:t>В края на месец октомври 2016 г. разработените бланки за метаданни са представени на НСИ.</w:t>
            </w:r>
          </w:p>
          <w:p w:rsidR="00A1205A" w:rsidRDefault="00A1205A">
            <w:pPr>
              <w:pStyle w:val="BodyText"/>
            </w:pPr>
          </w:p>
        </w:tc>
      </w:tr>
    </w:tbl>
    <w:p w:rsidR="00A1205A" w:rsidRDefault="00A1205A">
      <w:pPr>
        <w:sectPr w:rsidR="00A1205A">
          <w:pgSz w:w="12240" w:h="15840"/>
          <w:pgMar w:top="900" w:right="900" w:bottom="900" w:left="900" w:header="720" w:footer="720" w:gutter="0"/>
          <w:cols w:space="720"/>
        </w:sectPr>
      </w:pPr>
    </w:p>
    <w:p w:rsidR="00A1205A" w:rsidRDefault="009E0DC1">
      <w:pPr>
        <w:pStyle w:val="Heading2"/>
      </w:pPr>
      <w:bookmarkStart w:id="12" w:name="_Toc256000011"/>
      <w:r>
        <w:lastRenderedPageBreak/>
        <w:t>Списък на завършените оценки, включително посочване на местата, където те са публикувани в интернет</w:t>
      </w:r>
      <w:bookmarkEnd w:id="12"/>
    </w:p>
    <w:p w:rsidR="00A1205A" w:rsidRDefault="009E0DC1">
      <w:pPr>
        <w:jc w:val="left"/>
      </w:pPr>
      <w:r>
        <w:t>Не са дефинирани приключени оценки</w:t>
      </w:r>
    </w:p>
    <w:p w:rsidR="00A1205A" w:rsidRDefault="00A1205A">
      <w:pPr>
        <w:sectPr w:rsidR="00A1205A">
          <w:pgSz w:w="12240" w:h="15840"/>
          <w:pgMar w:top="900" w:right="900" w:bottom="900" w:left="900" w:header="720" w:footer="720" w:gutter="0"/>
          <w:cols w:space="720"/>
        </w:sectPr>
      </w:pPr>
    </w:p>
    <w:p w:rsidR="00A1205A" w:rsidRDefault="009E0DC1">
      <w:pPr>
        <w:pStyle w:val="Heading2"/>
      </w:pPr>
      <w:bookmarkStart w:id="13" w:name="_Toc256000012"/>
      <w:r>
        <w:lastRenderedPageBreak/>
        <w:t>Резюме на приключени оценки, което се съсредоточава върху заключенията от тях</w:t>
      </w:r>
      <w:bookmarkEnd w:id="1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Към края на 2016 г. не е извършена оценка на ПРСР 2007-2013, а в представения пред ЕК материал изготвен от УО на ПРСР са направени следните изводи:</w:t>
            </w:r>
          </w:p>
          <w:p w:rsidR="00A1205A" w:rsidRDefault="009E0DC1">
            <w:pPr>
              <w:spacing w:before="240" w:after="240"/>
              <w:jc w:val="left"/>
              <w:rPr>
                <w:szCs w:val="24"/>
              </w:rPr>
            </w:pPr>
            <w:r>
              <w:rPr>
                <w:b/>
                <w:bCs/>
                <w:szCs w:val="24"/>
                <w:u w:val="single"/>
              </w:rPr>
              <w:t>Мерки от Приоритетна ОС 1</w:t>
            </w:r>
          </w:p>
          <w:p w:rsidR="00A1205A" w:rsidRDefault="009E0DC1">
            <w:pPr>
              <w:spacing w:before="240" w:after="240"/>
              <w:jc w:val="left"/>
              <w:rPr>
                <w:szCs w:val="24"/>
              </w:rPr>
            </w:pPr>
            <w:r>
              <w:rPr>
                <w:szCs w:val="24"/>
              </w:rPr>
              <w:t>Чрез мерките от ОС1 и инвестиционната подкрепа е осигурена възможност на земеделските стопани и предприятия от ХВП сектора да модернизират производствените си мощности използвайки съвременни технологии за производство и преработка на селскостопански продукти. Разширяването на производствените мощности е създало условия за повишаване на заетостта и подобряване на условията на труд. Чрез достъпа до финансиране за инвестиции свързани с постигане на задължителните за ЕС стандарти особено в областта на животновъдството е осигурена възможност за по – лесен достъп на земеделските стопани до пазара. В растениевъдството е предоставена възможност за обновяване на машинният парк и оборудване, които са от ключово значение при отглеждането на различни видове култури. Осигурената допълняемост между отделните мерки в приоритетната ОС е предоставило възможност на малки и млади земеделски стопани да получат улеснен достъп до финансиране, включително и подпомагане на тяхната селскостопанска дейност посредством безплатни консултации и обучения. В следствие на получена обратна връзка от бенефициентите, голям процент от тях потвърждават, че получената финансова помощ е повлияла положително на рентабилността, производителността на труда и качеството на продукцията им. Това се отнася в най-голяма степен за инвестиционните мерки, от които ефекта върху конкурентоспособността на бенефициентите е най-голям. Най-ниско от бенефициентите се оценява приноса на мерките за обучение. Те има трудно измерим, по-скоро косвен ефект върху конкурентоспособността на бенефициентите, който се проявява в средносрочен или дългосрочен период върху бизнеса им. Ефекта от тези мерки в голяма степен зависи от нагласата на бенефициентите за възприемане на нови знания и умения чрез обучение. Мерките за стартова помощ  също имат положително влияния върху конкурентоспособността, доколкото помагат на земеделски производители да се установят на конкурентния пазар на земеделски продукти и в последствие да продължат да развиват самостоятелно дейността си.</w:t>
            </w:r>
          </w:p>
          <w:p w:rsidR="00A1205A" w:rsidRDefault="009E0DC1">
            <w:pPr>
              <w:spacing w:before="240" w:after="240"/>
              <w:jc w:val="left"/>
              <w:rPr>
                <w:szCs w:val="24"/>
              </w:rPr>
            </w:pPr>
            <w:r>
              <w:rPr>
                <w:b/>
                <w:bCs/>
                <w:szCs w:val="24"/>
                <w:u w:val="single"/>
              </w:rPr>
              <w:t>Мерки от Приоритетна ОС 2</w:t>
            </w:r>
          </w:p>
          <w:p w:rsidR="00A1205A" w:rsidRDefault="009E0DC1">
            <w:pPr>
              <w:spacing w:before="240" w:after="240"/>
              <w:jc w:val="left"/>
              <w:rPr>
                <w:szCs w:val="24"/>
              </w:rPr>
            </w:pPr>
            <w:r>
              <w:rPr>
                <w:szCs w:val="24"/>
              </w:rPr>
              <w:t>Прилагането на всички мерки от Ос 2 на ПРСР 2007 – 2013 са повишили знанията и вниманието на бенефициентите към влиянието на селското стопанство върху околната среда и поддържането и прилагането на благоприятни за средата дейности. Изпълнението на петгодишните ангажименти към площите са допринесли за прилагане на устойчиви земеделски практики при управлението на земята. Чрез включването на по-малки земеделски стопанства в мерките от Ос 2 е постигнат принос за  поддържане и повишаване на заетостта в селските райони, в т.ч. районите с природни и други ограничения. Подкрепата за извършване на земеделска дейност в зони по НАТУРА 2000, е осигурила подкрепа за площи със специфични ограничения и ценни представители на флората и фауната. Подобрен е процеса на извършваните земеделските дейности, съобразени с практики за опазване на околната среда и планиране на дейността, както и прилагане на стандарти за биологично производство. Прилагането на мерките насочени към горско стопанство в рамките на Ос 2 е оказало положително въздействие върху местната околна среда.</w:t>
            </w:r>
          </w:p>
          <w:p w:rsidR="00A1205A" w:rsidRDefault="009E0DC1">
            <w:pPr>
              <w:spacing w:before="240" w:after="240"/>
              <w:jc w:val="left"/>
              <w:rPr>
                <w:szCs w:val="24"/>
              </w:rPr>
            </w:pPr>
            <w:r>
              <w:rPr>
                <w:b/>
                <w:bCs/>
                <w:szCs w:val="24"/>
                <w:u w:val="single"/>
              </w:rPr>
              <w:t>Мерки от Приоритетна ОС 3</w:t>
            </w:r>
          </w:p>
          <w:p w:rsidR="00A1205A" w:rsidRDefault="009E0DC1">
            <w:pPr>
              <w:spacing w:before="240" w:after="240"/>
              <w:jc w:val="left"/>
              <w:rPr>
                <w:szCs w:val="24"/>
              </w:rPr>
            </w:pPr>
            <w:r>
              <w:rPr>
                <w:szCs w:val="24"/>
              </w:rPr>
              <w:t xml:space="preserve">Подпомагането по мерки 311 и 312 финансира проекти на 747 микропредприятия за развитие на предприемачество и създаване на заетост в селските райони. Подпомогнати са 450 земеделски </w:t>
            </w:r>
            <w:r>
              <w:rPr>
                <w:szCs w:val="24"/>
              </w:rPr>
              <w:lastRenderedPageBreak/>
              <w:t>стопани да развият допълнителна дейност, която създава страничен доход, извън селскостопанската дейност. От гледна точка на заложените в ПРСР цели, мерките допринесоха в минимална степен за подобряване на икономическото разнообразяване на бенефициентите. Това е един от научените уроци, който следва да бъде отчетен в ПРСР 2014-2020. Мярка 313 допринесе косвено за подобряване на икономическото разнообразяване на бенефициентите чрез създадените 489 нови работни места, привлечени над 80 000 туристи, извършени над 250 000 настанявания с цел туризъм. Изградената чрез мярката туристическа инфраструктура оказа влияние върху развитието на бизнеса в селските райони. Бенефициенти по публичните мерки са предимно общини. Чрез инвестициите по ПРСР се реконструира основна общинска инфраструктура, от която ежедневно се възползват жителите на селските райони. От направените по мярка 321 инвестиции са се възползвали над 1,4 млн. души в селските райони. Основна техническа инфраструктура в селските райони (пътища, улици, водоснабдяване) е възстановена чрез финансовата помощ по мярката, което в достатъчна степен, (но в никакъв случай задоволителна предвид големите нужди), е подобрило условията за живот. Анализът на резултатите от прилагането на мярка 322 през програмния период показват, че мярката е доста успешна и е изпълнила своята цел – да се подобри привлекателността на средата за живот в населените места от селските райони. В 747 населени места над 3,7 млн. души в селските райони се ползват от възстановени и облагородени паркове, зелени площи, улици, площади, тротоари и улично осветление.</w:t>
            </w:r>
          </w:p>
          <w:p w:rsidR="00A1205A" w:rsidRDefault="009E0DC1">
            <w:pPr>
              <w:spacing w:before="240" w:after="240"/>
              <w:jc w:val="left"/>
              <w:rPr>
                <w:szCs w:val="24"/>
              </w:rPr>
            </w:pPr>
            <w:r>
              <w:rPr>
                <w:b/>
                <w:bCs/>
                <w:szCs w:val="24"/>
                <w:u w:val="single"/>
              </w:rPr>
              <w:t>Лидер</w:t>
            </w:r>
          </w:p>
          <w:p w:rsidR="00A1205A" w:rsidRDefault="009E0DC1">
            <w:pPr>
              <w:spacing w:before="240" w:after="240"/>
              <w:jc w:val="left"/>
              <w:rPr>
                <w:szCs w:val="24"/>
              </w:rPr>
            </w:pPr>
            <w:r>
              <w:rPr>
                <w:szCs w:val="24"/>
              </w:rPr>
              <w:t>В следствие на изградения по програмата капацитет за прилагане на подхода ЛИДЕР на местно ниво по двете процедури за избор на МИГ и стратегии за местно развитие в УО на ПРСР са подадени 126 заявления от 97 местни инициативни групи, обхващащи 141 общини (61% от общините в селските райони). Тези данни показват приемствеността и интереса към подхода ЛИДЕР, постигнати като резултат от прилагането на под-мярка 431-2 през програмния период 2007 – 2013 г. С подаването на стратегии за местно развитие за одобрение от УО на ПРСР успешно приключва първия етап на изграждане на капацитет на местно ниво, който позволява на местните общности да мобилизират своите ресурси, да приобщават населението и да изготвят средносрочни стратегически документи за развитие на своите територии.Предвид важността на процеса на подготовка на стратегии за местно развитие и въз основа на опита при изпълнението на подмярка 431-2 през програмния период 2007 – 2013 г., подкрепата за изграждане и укрепване на капацитета на местните общности е приоритет и през програмния период 2014 – 2020 г. По този начин се гарантира изготвянето на качествени стратегии с широкото участие на местните общности, в това число и на представители на малцинства и уязвими групи, когато това е приложимо. По изпълнените от бенефициенти към стратегиите за местно развитие договори са открити 2 609 работни места на териториите на одобрените МИГ. За дейности, свързани с диверсификация към СМР на МИГ са изпълнени 336 договора с обща стойност на субсидията в размер на 22 767 467,80 лева (11 641 000 евро), по които са открити 1298 работни места. От представените данни може да се направи заключение, че на местно ниво, посредством МИГ, изпълнявали стратегии за местно развитие през периода 2007 – 2013 г., е изграден значителен капацитет за откриване на работни места и диверсификация.</w:t>
            </w:r>
          </w:p>
          <w:p w:rsidR="00A1205A" w:rsidRDefault="009E0DC1">
            <w:pPr>
              <w:spacing w:before="240" w:after="240"/>
              <w:jc w:val="left"/>
              <w:rPr>
                <w:szCs w:val="24"/>
              </w:rPr>
            </w:pPr>
            <w:r>
              <w:rPr>
                <w:b/>
                <w:bCs/>
                <w:szCs w:val="24"/>
                <w:u w:val="single"/>
              </w:rPr>
              <w:t>Националната селска мрежа</w:t>
            </w:r>
          </w:p>
          <w:p w:rsidR="00A1205A" w:rsidRDefault="009E0DC1">
            <w:pPr>
              <w:spacing w:before="240" w:after="240"/>
              <w:jc w:val="left"/>
              <w:rPr>
                <w:szCs w:val="24"/>
              </w:rPr>
            </w:pPr>
            <w:r>
              <w:rPr>
                <w:szCs w:val="24"/>
              </w:rPr>
              <w:t xml:space="preserve">Националната селска мрежа (НСМ) е допринесла в малка степен за постигането на целите на ПРСР. Основна причина за това е липсата на Звено за управление на НСМ в периода от стартиране на ПРСР до края на 2012 г. В резултат на проведена тръжна процедура, на 10.11.2012 г. е подписан договор за Изпълнител на Звено за управление на НСМ, с период на изпълнение от три години. Дългото отсъствие на НСМ като основно свързващо звено между заинтересованите от ПРСР страни е предпоставка за много проблеми, спъващи успешното прилагане на Програмата. Изборът на Звено за </w:t>
            </w:r>
            <w:r>
              <w:rPr>
                <w:szCs w:val="24"/>
              </w:rPr>
              <w:lastRenderedPageBreak/>
              <w:t>управление на НСМ е отчетено като позитивен факт, но на твърде късен етап – във втората половина на програмния период. Може да се направи извод, че в тригодишния си период на функциониране работата на Звеното е оказало положително влияние върху изпълнението на ПРСР.</w:t>
            </w:r>
          </w:p>
          <w:p w:rsidR="00A1205A" w:rsidRDefault="009E0DC1">
            <w:pPr>
              <w:spacing w:before="240" w:after="240"/>
              <w:jc w:val="left"/>
              <w:rPr>
                <w:szCs w:val="24"/>
              </w:rPr>
            </w:pPr>
            <w:r>
              <w:rPr>
                <w:b/>
                <w:bCs/>
                <w:szCs w:val="24"/>
                <w:u w:val="single"/>
              </w:rPr>
              <w:t>Техническа помощ</w:t>
            </w:r>
          </w:p>
          <w:p w:rsidR="00A1205A" w:rsidRDefault="009E0DC1">
            <w:pPr>
              <w:spacing w:before="240" w:after="240"/>
              <w:jc w:val="left"/>
              <w:rPr>
                <w:szCs w:val="24"/>
              </w:rPr>
            </w:pPr>
            <w:r>
              <w:rPr>
                <w:szCs w:val="24"/>
              </w:rPr>
              <w:t>Прилагането на М511 е допринесло в голяма степен за постигането на целите на ПРСР. Това е постигнато чрез дейности насочени към осигуряване на информираност и публичност на ПРСР, извършване на анализи, проучвания, изследвания и оценки, подготвителни дейности за програмен период 2014-2020 г. и техническо обезпечение и възнаграждения за УО и РА.</w:t>
            </w:r>
          </w:p>
          <w:p w:rsidR="00A1205A" w:rsidRDefault="009E0DC1">
            <w:pPr>
              <w:spacing w:before="240" w:after="240"/>
              <w:jc w:val="left"/>
              <w:rPr>
                <w:szCs w:val="24"/>
              </w:rPr>
            </w:pPr>
            <w:r>
              <w:rPr>
                <w:b/>
                <w:bCs/>
                <w:szCs w:val="24"/>
                <w:u w:val="single"/>
              </w:rPr>
              <w:t>Икономика в селските райони</w:t>
            </w:r>
          </w:p>
          <w:p w:rsidR="00A1205A" w:rsidRDefault="009E0DC1">
            <w:pPr>
              <w:spacing w:before="240" w:after="240"/>
              <w:jc w:val="left"/>
              <w:rPr>
                <w:szCs w:val="24"/>
              </w:rPr>
            </w:pPr>
            <w:r>
              <w:rPr>
                <w:szCs w:val="24"/>
              </w:rPr>
              <w:t>Мерките от програмата са допринесли значително за създаването и запазването на заетостта в селските райони, както в земеделието, така и извън него. Мерките, насочени към развитие неземеделски бизнес са оказала положително влияние върху местния бизнес. Косвените икономически ефекти се пренасят по веригата за доставки към вносители и производители на земеделска техника и оборудване, торове и препарати, строителни фирми и други доставчици,  като увеличават нетната добавена стойност при тях. Тези фактори оформят значимо положително влияние на програмата върху икономиката в селските райони.</w:t>
            </w:r>
          </w:p>
          <w:p w:rsidR="00A1205A" w:rsidRDefault="009E0DC1">
            <w:pPr>
              <w:spacing w:before="240" w:after="240"/>
              <w:jc w:val="left"/>
              <w:rPr>
                <w:szCs w:val="24"/>
              </w:rPr>
            </w:pPr>
            <w:r>
              <w:rPr>
                <w:b/>
                <w:bCs/>
                <w:szCs w:val="24"/>
                <w:u w:val="single"/>
              </w:rPr>
              <w:t xml:space="preserve">Заетост </w:t>
            </w:r>
          </w:p>
          <w:p w:rsidR="00A1205A" w:rsidRDefault="009E0DC1">
            <w:pPr>
              <w:spacing w:before="240" w:after="240"/>
              <w:jc w:val="left"/>
              <w:rPr>
                <w:szCs w:val="24"/>
              </w:rPr>
            </w:pPr>
            <w:r>
              <w:rPr>
                <w:szCs w:val="24"/>
              </w:rPr>
              <w:t>Основно влияние върху заетостта оказват инвестиционните мерки в земеделието и ХВП. Цялостния ефект от тяхното прилагане е положителен, като варира при инвестиции насочени към оптимизация на съществуващия бизнес и такива, свързани с разширяване на бизнеса на бенефициентите.   Директно положително влияние върху заетостта имат инвестиции в разширяване на бизнеса на бенефициентите. Те са  основно, свързани със стартиране на  нови бизнес-направления  и нови продукти. Такива са например инвестиции в животновъден комплекс за ДПЖ от животновъдно стопанство, специализирано в отглеждане на ЕПЖ, както и създаване на нов сорт трайни насаждения върху нови площи, каквито бенефициента не е стопанисват до момента. Този тип  инвестиции са спомогнали съществено за създаване на нови работни места. Положително въздействие е оказала мярка 112, която е създала заетост за над 5000 млади хора в селското стопанство,  предоставяйки им възможност да стартират собствен бизнес.</w:t>
            </w:r>
          </w:p>
          <w:p w:rsidR="00A1205A" w:rsidRDefault="009E0DC1">
            <w:pPr>
              <w:spacing w:before="240" w:after="240"/>
              <w:jc w:val="left"/>
              <w:rPr>
                <w:szCs w:val="24"/>
              </w:rPr>
            </w:pPr>
            <w:r>
              <w:rPr>
                <w:b/>
                <w:bCs/>
                <w:szCs w:val="24"/>
                <w:u w:val="single"/>
              </w:rPr>
              <w:t>Природните ресурси, ландшафт, биологичното разнообразие, ВПС земеделие и горско стопанство</w:t>
            </w:r>
          </w:p>
          <w:p w:rsidR="00A1205A" w:rsidRDefault="009E0DC1">
            <w:pPr>
              <w:spacing w:before="240" w:after="240"/>
              <w:jc w:val="left"/>
              <w:rPr>
                <w:szCs w:val="24"/>
              </w:rPr>
            </w:pPr>
            <w:r>
              <w:rPr>
                <w:szCs w:val="24"/>
              </w:rPr>
              <w:t>Осъществяването на дейности, финансирани от ПРСР 2007 – 2013 допринася значителна за защита на природните ресурси, опазване на биологичното разнообразие и земите с висока природна стойност. Залесените нови гори, допринасят за подобряване на биоразнообразието и качеството на водата, смекчаване на промените в климата, съхраняване качество на почвата и предотвратяване на маргинализацията, изоставянето и ерозирането на неземеделските земи.  Възстановените гори, допринасят за подобряване на биоразнообразието и качеството на водата, смекчаване на промените в климата, съхраняване качество на почвата и предотвратяване на маргинализацията, изоставянето и ерозирането на неземеделските земи.</w:t>
            </w:r>
          </w:p>
          <w:p w:rsidR="00A1205A" w:rsidRDefault="00A1205A">
            <w:pPr>
              <w:pStyle w:val="BodyText"/>
            </w:pPr>
          </w:p>
        </w:tc>
      </w:tr>
    </w:tbl>
    <w:p w:rsidR="00A1205A" w:rsidRDefault="009E0DC1">
      <w:pPr>
        <w:pStyle w:val="Heading2"/>
      </w:pPr>
      <w:bookmarkStart w:id="14" w:name="_Toc256000013"/>
      <w:r>
        <w:lastRenderedPageBreak/>
        <w:t>Описание на дейностите, предприети по отношение на публикуването на констатациите от оценката (във връзка с раздел 6 на плана за оценка)</w:t>
      </w:r>
      <w:bookmarkEnd w:id="14"/>
    </w:p>
    <w:p w:rsidR="00A1205A" w:rsidRDefault="009E0DC1">
      <w:pPr>
        <w:jc w:val="left"/>
        <w:sectPr w:rsidR="00A1205A">
          <w:pgSz w:w="12240" w:h="15840"/>
          <w:pgMar w:top="900" w:right="900" w:bottom="900" w:left="900" w:header="720" w:footer="720" w:gutter="0"/>
          <w:cols w:space="720"/>
        </w:sectPr>
      </w:pPr>
      <w:r>
        <w:t>Не са дефинирани комуникационни дейности</w:t>
      </w:r>
    </w:p>
    <w:p w:rsidR="00A1205A" w:rsidRDefault="009E0DC1">
      <w:pPr>
        <w:pStyle w:val="Heading2"/>
      </w:pPr>
      <w:bookmarkStart w:id="15" w:name="_Toc256000014"/>
      <w:r>
        <w:lastRenderedPageBreak/>
        <w:t>Описание на предприетите последващи действия във връзка с резултатите от оценката (във връзка с раздел 6 на плана за оценка)</w:t>
      </w:r>
      <w:bookmarkEnd w:id="15"/>
    </w:p>
    <w:p w:rsidR="00A1205A" w:rsidRDefault="009E0DC1">
      <w:r>
        <w:t>Прави се препратка към плана за оценка, описват се евентуални трудности при изпълнението, както и приети или предложени решения.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2"/>
        <w:gridCol w:w="7986"/>
      </w:tblGrid>
      <w:tr w:rsidR="00A1205A">
        <w:tc>
          <w:tcPr>
            <w:tcW w:w="1250" w:type="pct"/>
            <w:shd w:val="clear" w:color="auto" w:fill="C0C0C0"/>
            <w:tcMar>
              <w:top w:w="20" w:type="dxa"/>
              <w:left w:w="100" w:type="dxa"/>
              <w:bottom w:w="20" w:type="dxa"/>
            </w:tcMar>
          </w:tcPr>
          <w:p w:rsidR="00A1205A" w:rsidRDefault="009E0DC1">
            <w:r>
              <w:rPr>
                <w:b/>
              </w:rPr>
              <w:t xml:space="preserve"> Резултат от оценката, подходящ за последващи действия (опишете заключението и посочете източника в скоби)</w:t>
            </w:r>
          </w:p>
        </w:tc>
        <w:tc>
          <w:tcPr>
            <w:tcW w:w="3750" w:type="pct"/>
            <w:shd w:val="clear" w:color="auto" w:fill="FFFFFF"/>
            <w:tcMar>
              <w:top w:w="20" w:type="dxa"/>
              <w:left w:w="100" w:type="dxa"/>
              <w:bottom w:w="20" w:type="dxa"/>
            </w:tcMar>
          </w:tcPr>
          <w:p w:rsidR="00A1205A" w:rsidRDefault="009E0DC1">
            <w:r>
              <w:t>През 2015 г. и 2016 г. Управляващият орган е извършвал текущ анализ и оценка на прилагането на стартиралите мерки, като в резултат на данните са направени предложения за промяна в отделни мерки от ПРСР, одобрени от ЕК. Измененията са насочени към по – добро таргетиране на мерките и по – добро ориентиране към постигане на заложените индикатори.</w:t>
            </w:r>
          </w:p>
        </w:tc>
      </w:tr>
      <w:tr w:rsidR="00A1205A">
        <w:tc>
          <w:tcPr>
            <w:tcW w:w="1250" w:type="pct"/>
            <w:shd w:val="clear" w:color="auto" w:fill="C0C0C0"/>
            <w:tcMar>
              <w:top w:w="20" w:type="dxa"/>
              <w:left w:w="100" w:type="dxa"/>
              <w:bottom w:w="20" w:type="dxa"/>
            </w:tcMar>
          </w:tcPr>
          <w:p w:rsidR="00A1205A" w:rsidRDefault="009E0DC1">
            <w:r>
              <w:rPr>
                <w:b/>
              </w:rPr>
              <w:t>Предприети последващи мерки</w:t>
            </w:r>
          </w:p>
        </w:tc>
        <w:tc>
          <w:tcPr>
            <w:tcW w:w="3750" w:type="pct"/>
            <w:shd w:val="clear" w:color="auto" w:fill="FFFFFF"/>
            <w:tcMar>
              <w:top w:w="20" w:type="dxa"/>
              <w:left w:w="100" w:type="dxa"/>
              <w:bottom w:w="20" w:type="dxa"/>
            </w:tcMar>
          </w:tcPr>
          <w:p w:rsidR="00A1205A" w:rsidRDefault="009E0DC1">
            <w:r>
              <w:t>През 2015 г. и 2016 г. Управляващият орган е извършвал текущ анализ и оценка на прилагането на стартиралите мерки, като в резултат на данните са направени предложения за промяна в отделни мерки от ПРСР, одобрени от ЕК. Измененията са насочени към по – добро таргетиране на мерките и по – добро ориентиране към постигане на заложените индикатори.</w:t>
            </w:r>
          </w:p>
        </w:tc>
      </w:tr>
      <w:tr w:rsidR="00A1205A">
        <w:tc>
          <w:tcPr>
            <w:tcW w:w="1250" w:type="pct"/>
            <w:shd w:val="clear" w:color="auto" w:fill="C0C0C0"/>
            <w:tcMar>
              <w:top w:w="20" w:type="dxa"/>
              <w:left w:w="100" w:type="dxa"/>
              <w:bottom w:w="20" w:type="dxa"/>
            </w:tcMar>
          </w:tcPr>
          <w:p w:rsidR="00A1205A" w:rsidRDefault="009E0DC1">
            <w:r>
              <w:rPr>
                <w:b/>
              </w:rPr>
              <w:t>Отговорен орган за последващи действия</w:t>
            </w:r>
          </w:p>
        </w:tc>
        <w:tc>
          <w:tcPr>
            <w:tcW w:w="3750" w:type="pct"/>
            <w:shd w:val="clear" w:color="auto" w:fill="FFFFFF"/>
            <w:tcMar>
              <w:top w:w="20" w:type="dxa"/>
              <w:left w:w="100" w:type="dxa"/>
              <w:bottom w:w="20" w:type="dxa"/>
            </w:tcMar>
          </w:tcPr>
          <w:p w:rsidR="00A1205A" w:rsidRDefault="00A1205A"/>
        </w:tc>
      </w:tr>
    </w:tbl>
    <w:p w:rsidR="00A1205A" w:rsidRDefault="00A1205A"/>
    <w:p w:rsidR="00A1205A" w:rsidRDefault="00A1205A">
      <w:pPr>
        <w:sectPr w:rsidR="00A1205A">
          <w:pgSz w:w="12240" w:h="15840"/>
          <w:pgMar w:top="900" w:right="900" w:bottom="900" w:left="900" w:header="720" w:footer="720" w:gutter="0"/>
          <w:cols w:space="720"/>
        </w:sectPr>
      </w:pPr>
    </w:p>
    <w:p w:rsidR="00A1205A" w:rsidRDefault="009E0DC1">
      <w:pPr>
        <w:pStyle w:val="Heading1"/>
      </w:pPr>
      <w:bookmarkStart w:id="16" w:name="_Toc256000015"/>
      <w:r>
        <w:lastRenderedPageBreak/>
        <w:t>Проблеми, свързани с изпълнението на програмата и приетите мерки</w:t>
      </w:r>
      <w:bookmarkEnd w:id="16"/>
    </w:p>
    <w:p w:rsidR="00A1205A" w:rsidRDefault="009E0DC1">
      <w:pPr>
        <w:pStyle w:val="Heading2"/>
      </w:pPr>
      <w:bookmarkStart w:id="17" w:name="_Toc256000016"/>
      <w:r>
        <w:t>Описание на предприетите стъпки за осигуряване на качеството и ефективността на изпълнението на програмата</w:t>
      </w:r>
      <w:bookmarkEnd w:id="1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648"/>
      </w:tblGrid>
      <w:tr w:rsidR="00A1205A">
        <w:tc>
          <w:tcPr>
            <w:tcW w:w="3750" w:type="pct"/>
            <w:shd w:val="clear" w:color="auto" w:fill="auto"/>
            <w:tcMar>
              <w:top w:w="20" w:type="dxa"/>
              <w:left w:w="100" w:type="dxa"/>
              <w:bottom w:w="20" w:type="dxa"/>
            </w:tcMar>
          </w:tcPr>
          <w:p w:rsidR="00A1205A" w:rsidRDefault="009E0DC1">
            <w:pPr>
              <w:spacing w:before="0" w:after="240"/>
              <w:jc w:val="left"/>
              <w:rPr>
                <w:szCs w:val="24"/>
              </w:rPr>
            </w:pPr>
            <w:r>
              <w:rPr>
                <w:b/>
                <w:bCs/>
                <w:szCs w:val="24"/>
              </w:rPr>
              <w:t xml:space="preserve">Прилагане на опростени разходи </w:t>
            </w:r>
          </w:p>
          <w:p w:rsidR="00A1205A" w:rsidRDefault="009E0DC1">
            <w:pPr>
              <w:spacing w:before="240" w:after="240"/>
              <w:jc w:val="left"/>
              <w:rPr>
                <w:szCs w:val="24"/>
              </w:rPr>
            </w:pPr>
            <w:r>
              <w:rPr>
                <w:szCs w:val="24"/>
              </w:rPr>
              <w:t>През 2016 г. както е посочено и в доклада за 2015 г. в рамките ПРСР 2014 - 2020 „стандартни разходи“ се прилагат по следните мерки/подмерки:</w:t>
            </w:r>
          </w:p>
          <w:p w:rsidR="00A1205A" w:rsidRDefault="009E0DC1" w:rsidP="009E0DC1">
            <w:pPr>
              <w:numPr>
                <w:ilvl w:val="0"/>
                <w:numId w:val="28"/>
              </w:numPr>
              <w:spacing w:before="240" w:after="0"/>
              <w:ind w:hanging="210"/>
              <w:jc w:val="left"/>
              <w:rPr>
                <w:szCs w:val="24"/>
              </w:rPr>
            </w:pPr>
            <w:r>
              <w:rPr>
                <w:szCs w:val="24"/>
              </w:rPr>
              <w:t>мярка 1„Трансфер на знания и действия по осведомяване“;</w:t>
            </w:r>
          </w:p>
          <w:p w:rsidR="00A1205A" w:rsidRDefault="009E0DC1" w:rsidP="009E0DC1">
            <w:pPr>
              <w:numPr>
                <w:ilvl w:val="0"/>
                <w:numId w:val="28"/>
              </w:numPr>
              <w:spacing w:before="0" w:after="0"/>
              <w:ind w:hanging="210"/>
              <w:jc w:val="left"/>
              <w:rPr>
                <w:szCs w:val="24"/>
              </w:rPr>
            </w:pPr>
            <w:r>
              <w:rPr>
                <w:szCs w:val="24"/>
              </w:rPr>
              <w:t>мярка 2 „Консултантски услуги, управление на стопанството и услуги по заместване в стопанството“;</w:t>
            </w:r>
          </w:p>
          <w:p w:rsidR="00A1205A" w:rsidRDefault="009E0DC1" w:rsidP="009E0DC1">
            <w:pPr>
              <w:numPr>
                <w:ilvl w:val="0"/>
                <w:numId w:val="28"/>
              </w:numPr>
              <w:spacing w:before="0" w:after="0"/>
              <w:ind w:hanging="210"/>
              <w:jc w:val="left"/>
              <w:rPr>
                <w:szCs w:val="24"/>
              </w:rPr>
            </w:pPr>
            <w:r>
              <w:rPr>
                <w:szCs w:val="24"/>
              </w:rPr>
              <w:t>мярка 8 „Инвестиции в горски територии, развитие и подобряване на жизнеността на горите”;</w:t>
            </w:r>
          </w:p>
          <w:p w:rsidR="00A1205A" w:rsidRDefault="009E0DC1" w:rsidP="009E0DC1">
            <w:pPr>
              <w:numPr>
                <w:ilvl w:val="0"/>
                <w:numId w:val="28"/>
              </w:numPr>
              <w:spacing w:before="0" w:after="0"/>
              <w:ind w:hanging="210"/>
              <w:jc w:val="left"/>
              <w:rPr>
                <w:szCs w:val="24"/>
              </w:rPr>
            </w:pPr>
            <w:r>
              <w:rPr>
                <w:szCs w:val="24"/>
              </w:rPr>
              <w:t> мярка 16 „Сътрудничество“;</w:t>
            </w:r>
          </w:p>
          <w:p w:rsidR="00A1205A" w:rsidRDefault="009E0DC1" w:rsidP="009E0DC1">
            <w:pPr>
              <w:numPr>
                <w:ilvl w:val="0"/>
                <w:numId w:val="28"/>
              </w:numPr>
              <w:spacing w:before="0" w:after="240"/>
              <w:ind w:hanging="210"/>
              <w:jc w:val="left"/>
              <w:rPr>
                <w:szCs w:val="24"/>
              </w:rPr>
            </w:pPr>
            <w:r>
              <w:rPr>
                <w:szCs w:val="24"/>
              </w:rPr>
              <w:t>мярка 19 „Подкрепа за ЛИДЕР местно развитие”.</w:t>
            </w:r>
          </w:p>
          <w:p w:rsidR="00A1205A" w:rsidRDefault="009E0DC1">
            <w:pPr>
              <w:spacing w:before="240" w:after="240"/>
              <w:ind w:left="780"/>
              <w:jc w:val="left"/>
              <w:rPr>
                <w:szCs w:val="24"/>
              </w:rPr>
            </w:pPr>
            <w:r>
              <w:rPr>
                <w:szCs w:val="24"/>
              </w:rPr>
              <w:t> </w:t>
            </w:r>
          </w:p>
          <w:p w:rsidR="00A1205A" w:rsidRDefault="009E0DC1">
            <w:pPr>
              <w:spacing w:before="240" w:after="240"/>
              <w:jc w:val="left"/>
              <w:rPr>
                <w:szCs w:val="24"/>
              </w:rPr>
            </w:pPr>
            <w:r>
              <w:rPr>
                <w:szCs w:val="24"/>
              </w:rPr>
              <w:t xml:space="preserve">През 2016 г.   </w:t>
            </w:r>
            <w:r>
              <w:rPr>
                <w:i/>
                <w:iCs/>
                <w:szCs w:val="24"/>
              </w:rPr>
              <w:t>мярка 1„Трансфер на знания и действия по осведомяване“</w:t>
            </w:r>
            <w:r>
              <w:rPr>
                <w:szCs w:val="24"/>
              </w:rPr>
              <w:t xml:space="preserve"> не е стартирана за прилагане от страна на Управляващият орган, въпреки, че са проведени приеми по подмерки 6.1 и 6.3, чиито ползватели биха се възползвали от възможността за обучение или повишаване на тяхната квалификация.</w:t>
            </w:r>
          </w:p>
          <w:p w:rsidR="00A1205A" w:rsidRDefault="009E0DC1">
            <w:pPr>
              <w:spacing w:before="240" w:after="240"/>
              <w:jc w:val="left"/>
              <w:rPr>
                <w:szCs w:val="24"/>
              </w:rPr>
            </w:pPr>
            <w:r>
              <w:rPr>
                <w:szCs w:val="24"/>
              </w:rPr>
              <w:t>През 2016 г. са извършени първите плащания по стартиралата през 2015 г. мярка 2 „</w:t>
            </w:r>
            <w:r>
              <w:rPr>
                <w:i/>
                <w:iCs/>
                <w:szCs w:val="24"/>
              </w:rPr>
              <w:t>Консултантски услуги, управление на стопанството и услуги по заместване в стопанството</w:t>
            </w:r>
            <w:r>
              <w:rPr>
                <w:szCs w:val="24"/>
              </w:rPr>
              <w:t>“. Ползвател на финансовата помощ е НССЗ, като в съответствие с утвърдените консултантски пакети, са предоставени  безплатни консултантски услуги на кандидати по подмярка 6.1., свързани с подготвка на бизнес-план и заявление за подпомагане, както и необходимото обучение за стартиране на бизнес в областта на земеделието. Определеният стандартен разход е в размер на 814 евро за предоставен консултантски пакет, като същият е определен по методика, при която е определена една обща стойност за целия пакет.</w:t>
            </w:r>
          </w:p>
          <w:p w:rsidR="00A1205A" w:rsidRDefault="009E0DC1">
            <w:pPr>
              <w:spacing w:before="240" w:after="240"/>
              <w:jc w:val="left"/>
              <w:rPr>
                <w:szCs w:val="24"/>
              </w:rPr>
            </w:pPr>
            <w:r>
              <w:rPr>
                <w:szCs w:val="24"/>
              </w:rPr>
              <w:t>Стандартните разходи са изчислени от Управляващия орган на програмата на базата на практически опит и информацията от прилагането на мярка 143 и мярка 114 от ПРСР 2007-2013г. Адекватността и точността на изчисленията е потвърдена от Съюза на икономистите в България, който е функционално независим орган от Министерство на земеделието и храните и Държавен фонд „Земеделие“.</w:t>
            </w:r>
          </w:p>
          <w:p w:rsidR="00A1205A" w:rsidRDefault="009E0DC1">
            <w:pPr>
              <w:spacing w:before="240" w:after="240"/>
              <w:jc w:val="left"/>
              <w:rPr>
                <w:szCs w:val="24"/>
              </w:rPr>
            </w:pPr>
            <w:r>
              <w:rPr>
                <w:szCs w:val="24"/>
              </w:rPr>
              <w:t xml:space="preserve">През 2016 г.   </w:t>
            </w:r>
            <w:r>
              <w:rPr>
                <w:i/>
                <w:iCs/>
                <w:szCs w:val="24"/>
              </w:rPr>
              <w:t>мярка 8 „Инвестиции в горски територии, развитие и подобряване на жизнеността на горите”</w:t>
            </w:r>
            <w:r>
              <w:rPr>
                <w:szCs w:val="24"/>
              </w:rPr>
              <w:t xml:space="preserve"> не е стартирана за прилагане от страна на Управляващият орган, като очакванията са първите приеми да стартират през втората половина на 2017 г. след разработването на националното законодателство за прилагане на отделните подмерки.</w:t>
            </w:r>
          </w:p>
          <w:p w:rsidR="00A1205A" w:rsidRDefault="009E0DC1">
            <w:pPr>
              <w:spacing w:before="240" w:after="240"/>
              <w:jc w:val="left"/>
              <w:rPr>
                <w:szCs w:val="24"/>
              </w:rPr>
            </w:pPr>
            <w:r>
              <w:rPr>
                <w:szCs w:val="24"/>
              </w:rPr>
              <w:t>Мeтодиката за определяне на национални средни стандартни цени за създаване на гори – залесителни и поддържащи дейности по ПРСР е изготвена от екип от Лесотехнически университет – гр. София.</w:t>
            </w:r>
          </w:p>
          <w:p w:rsidR="00A1205A" w:rsidRDefault="009E0DC1">
            <w:pPr>
              <w:spacing w:before="240" w:after="240"/>
              <w:jc w:val="left"/>
              <w:rPr>
                <w:szCs w:val="24"/>
              </w:rPr>
            </w:pPr>
            <w:r>
              <w:rPr>
                <w:szCs w:val="24"/>
              </w:rPr>
              <w:t xml:space="preserve">През 2016 г.   </w:t>
            </w:r>
            <w:r>
              <w:rPr>
                <w:i/>
                <w:iCs/>
                <w:szCs w:val="24"/>
              </w:rPr>
              <w:t xml:space="preserve">мярка 16 „Сътрудничество“ </w:t>
            </w:r>
            <w:r>
              <w:rPr>
                <w:szCs w:val="24"/>
              </w:rPr>
              <w:t xml:space="preserve">не е стартирана за прилагане от страна на Управляващият орган, като очакванията са първите приеми да стартират през втората половина на </w:t>
            </w:r>
            <w:r>
              <w:rPr>
                <w:szCs w:val="24"/>
              </w:rPr>
              <w:lastRenderedPageBreak/>
              <w:t>2017 г. след разработването на националното законодателство за прилагане на отделните подмерки. Изчисленията на стандартните разходи са извършени от Съюз на икономистите в България, който е независим орган от Министерство на земеделието и храните и Държавен фонд „Земеделие“, съгласно изискванитя на Регламент 1305/2013.</w:t>
            </w:r>
          </w:p>
          <w:p w:rsidR="00A1205A" w:rsidRDefault="009E0DC1">
            <w:pPr>
              <w:spacing w:before="240" w:after="240"/>
              <w:jc w:val="left"/>
              <w:rPr>
                <w:szCs w:val="24"/>
              </w:rPr>
            </w:pPr>
            <w:r>
              <w:rPr>
                <w:szCs w:val="24"/>
              </w:rPr>
              <w:t xml:space="preserve">През 2016 г. местните инициативни групи получили подпомагане по мярка 19.1 </w:t>
            </w:r>
            <w:r>
              <w:rPr>
                <w:i/>
                <w:iCs/>
                <w:szCs w:val="24"/>
              </w:rPr>
              <w:t>„Помощ за подготвителни дейности“</w:t>
            </w:r>
            <w:r>
              <w:rPr>
                <w:szCs w:val="24"/>
              </w:rPr>
              <w:t xml:space="preserve"> са започнали отчитане на разходите по одобрените проекти, за които са приложими стандартни разходи. През 2016 г. след сключването на договори за прилагане на Стратегии за ВОМР от МИГ са одобрени и разходи за подмярка 19.4. </w:t>
            </w:r>
            <w:r>
              <w:rPr>
                <w:i/>
                <w:iCs/>
                <w:szCs w:val="24"/>
              </w:rPr>
              <w:t>„Текущи разходи и популяризиране на стратегия за водено от общностите местно развитие“</w:t>
            </w:r>
            <w:r>
              <w:rPr>
                <w:szCs w:val="24"/>
              </w:rPr>
              <w:t xml:space="preserve"> свързани с изпълнението на всяка стратегия.</w:t>
            </w:r>
          </w:p>
          <w:p w:rsidR="00A1205A" w:rsidRDefault="009E0DC1">
            <w:pPr>
              <w:spacing w:before="240" w:after="240"/>
              <w:jc w:val="left"/>
              <w:rPr>
                <w:szCs w:val="24"/>
              </w:rPr>
            </w:pPr>
            <w:r>
              <w:rPr>
                <w:szCs w:val="24"/>
              </w:rPr>
              <w:t>Методиките за изчисление на стандартните разходи по подмерки 19.1 19.3 и 19.4 са част от ПРСР и са извършени от Съюза на икономистите в България, който е функционално независим орган от Министерство на земеделието и храните и Държавен фонд „Земеделие“.</w:t>
            </w:r>
          </w:p>
          <w:p w:rsidR="00A1205A" w:rsidRDefault="009E0DC1">
            <w:pPr>
              <w:spacing w:before="240" w:after="240"/>
              <w:jc w:val="left"/>
              <w:rPr>
                <w:szCs w:val="24"/>
              </w:rPr>
            </w:pPr>
            <w:r>
              <w:rPr>
                <w:szCs w:val="24"/>
              </w:rPr>
              <w:t>Използваните подходи при изчисление на стандартните разходи, които са приложими по отделните мерки/подмерки са посочени в одобрената ПРСР.</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Комитет по наблюдение на ПРСР 2014-2020 (КН) през 2016 г.</w:t>
            </w:r>
          </w:p>
          <w:p w:rsidR="00A1205A" w:rsidRDefault="009E0DC1">
            <w:pPr>
              <w:spacing w:before="240" w:after="240"/>
              <w:jc w:val="left"/>
              <w:rPr>
                <w:szCs w:val="24"/>
              </w:rPr>
            </w:pPr>
            <w:r>
              <w:rPr>
                <w:szCs w:val="24"/>
              </w:rPr>
              <w:t>През 2016 г. са проведени три присъствени заседания на Комитета по наблюдение и са проведени две писмени процедури. В рамките на заседанията са правени задълбочени и детайлни дискусии между представители на отделните сектори участници в Комитета. С провеждането на заседанията е осигурено спазването на принципа на публичност, партньорство и съгласуваност с браншовите организации.</w:t>
            </w:r>
          </w:p>
          <w:p w:rsidR="00A1205A" w:rsidRDefault="009E0DC1">
            <w:pPr>
              <w:spacing w:before="240" w:after="240"/>
              <w:jc w:val="left"/>
              <w:rPr>
                <w:szCs w:val="24"/>
              </w:rPr>
            </w:pPr>
            <w:r>
              <w:rPr>
                <w:szCs w:val="24"/>
              </w:rPr>
              <w:t>В на КН са дискутирани въпроси и са взимани решения свързани с компетенциите на Комитета на Програмата, като одобряване на критерии за оценка на проекти, промени в одобрения текст на черките от ПРСР, подготовка на искания за изменение на ПРСР, обсъждания свързани с напредъка по прилагане и други ключови въпроси свързани с ПРСР.</w:t>
            </w:r>
          </w:p>
          <w:p w:rsidR="00A1205A" w:rsidRDefault="009E0DC1">
            <w:pPr>
              <w:spacing w:before="240" w:after="240"/>
              <w:jc w:val="left"/>
              <w:rPr>
                <w:szCs w:val="24"/>
              </w:rPr>
            </w:pPr>
            <w:r>
              <w:rPr>
                <w:szCs w:val="24"/>
              </w:rPr>
              <w:t>Управляващият орган е осигурил достъп до всички материали от заседанията на Комитета по наблюдение, като същите се публикуват на интернет сайта на министерство на земеделието и храните, в специална секция предназначена за ПРСР 2014-2020. По този начин е осигурен обществен достъп до информацията и обсъжданията от проведените заседания.</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Проведено на 11.03.2016 г. четвърто присъствено заседание на КН на ПРСР в рамките на което са разгледани и обсъдени с партьорите и браншовите организации следните ключови въпроси:</w:t>
            </w:r>
          </w:p>
          <w:p w:rsidR="00A1205A" w:rsidRDefault="009E0DC1" w:rsidP="009E0DC1">
            <w:pPr>
              <w:numPr>
                <w:ilvl w:val="0"/>
                <w:numId w:val="29"/>
              </w:numPr>
              <w:spacing w:before="240" w:after="0"/>
              <w:ind w:hanging="210"/>
              <w:jc w:val="left"/>
              <w:rPr>
                <w:szCs w:val="24"/>
              </w:rPr>
            </w:pPr>
            <w:r>
              <w:rPr>
                <w:szCs w:val="24"/>
              </w:rPr>
              <w:t>Предложение на УО на ПРСР за критерии за подбор на проектни предложения по подмярка 7.6 „Проучвания и инвестиции, свързани с поддържане, възстановяване  на културното и природното наследство на селата“;</w:t>
            </w:r>
          </w:p>
          <w:p w:rsidR="00A1205A" w:rsidRDefault="009E0DC1" w:rsidP="009E0DC1">
            <w:pPr>
              <w:numPr>
                <w:ilvl w:val="0"/>
                <w:numId w:val="29"/>
              </w:numPr>
              <w:spacing w:before="0" w:after="0"/>
              <w:ind w:hanging="210"/>
              <w:jc w:val="left"/>
              <w:rPr>
                <w:szCs w:val="24"/>
              </w:rPr>
            </w:pPr>
            <w:r>
              <w:rPr>
                <w:szCs w:val="24"/>
              </w:rPr>
              <w:t>Предложение на УО на ПРСР за 2-ро допълнение и изменение на Програмата за развитие на селските райони 2014-2020 г. - за изменение и допълнение на одобрения текст на подмярка 4.1 „Инвестиции в земеделските стопанства“ и изменение и допълнение на мярка 14 „Хуманно отношение към животните;</w:t>
            </w:r>
          </w:p>
          <w:p w:rsidR="00A1205A" w:rsidRDefault="009E0DC1" w:rsidP="009E0DC1">
            <w:pPr>
              <w:numPr>
                <w:ilvl w:val="0"/>
                <w:numId w:val="29"/>
              </w:numPr>
              <w:spacing w:before="0" w:after="0"/>
              <w:ind w:hanging="210"/>
              <w:jc w:val="left"/>
              <w:rPr>
                <w:szCs w:val="24"/>
              </w:rPr>
            </w:pPr>
            <w:r>
              <w:rPr>
                <w:szCs w:val="24"/>
              </w:rPr>
              <w:lastRenderedPageBreak/>
              <w:t>Предложение  на УО за промяна на критериите за подбор на проектни предложения по подмярка 4.1 „Инвестиции в земеделски стопанства“;</w:t>
            </w:r>
          </w:p>
          <w:p w:rsidR="00A1205A" w:rsidRDefault="009E0DC1" w:rsidP="009E0DC1">
            <w:pPr>
              <w:numPr>
                <w:ilvl w:val="0"/>
                <w:numId w:val="29"/>
              </w:numPr>
              <w:spacing w:before="0" w:after="240"/>
              <w:ind w:hanging="210"/>
              <w:jc w:val="left"/>
              <w:rPr>
                <w:szCs w:val="24"/>
              </w:rPr>
            </w:pPr>
            <w:r>
              <w:rPr>
                <w:szCs w:val="24"/>
              </w:rPr>
              <w:t>Предложение на УО на ПРСР за критерии за подбор на проектни предложения по подмярка 6.3 Стартова помощ за развитие на малки стопанства (ТПП);</w:t>
            </w:r>
          </w:p>
          <w:p w:rsidR="00A1205A" w:rsidRDefault="009E0DC1">
            <w:pPr>
              <w:spacing w:before="240" w:after="240"/>
              <w:jc w:val="left"/>
              <w:rPr>
                <w:szCs w:val="24"/>
              </w:rPr>
            </w:pPr>
            <w:r>
              <w:rPr>
                <w:b/>
                <w:bCs/>
                <w:szCs w:val="24"/>
              </w:rPr>
              <w:t>Решенията на КН от проведеното четвърто заседания са:</w:t>
            </w:r>
          </w:p>
          <w:p w:rsidR="00A1205A" w:rsidRDefault="009E0DC1" w:rsidP="009E0DC1">
            <w:pPr>
              <w:numPr>
                <w:ilvl w:val="0"/>
                <w:numId w:val="30"/>
              </w:numPr>
              <w:spacing w:before="240" w:after="0"/>
              <w:ind w:hanging="210"/>
              <w:jc w:val="left"/>
              <w:rPr>
                <w:szCs w:val="24"/>
              </w:rPr>
            </w:pPr>
            <w:r>
              <w:rPr>
                <w:szCs w:val="24"/>
              </w:rPr>
              <w:t>Одобрено е предложението на УО на ПРСР за критерии за подбор на проектни предложения по подмярка 7.6 „Проучвания и инвестиции, свързани с поддържане, възстановяване на културното и природното наследство на селата“</w:t>
            </w:r>
          </w:p>
          <w:p w:rsidR="00A1205A" w:rsidRDefault="009E0DC1" w:rsidP="009E0DC1">
            <w:pPr>
              <w:numPr>
                <w:ilvl w:val="0"/>
                <w:numId w:val="30"/>
              </w:numPr>
              <w:spacing w:before="0" w:after="0"/>
              <w:ind w:hanging="210"/>
              <w:jc w:val="left"/>
              <w:rPr>
                <w:szCs w:val="24"/>
              </w:rPr>
            </w:pPr>
            <w:r>
              <w:rPr>
                <w:szCs w:val="24"/>
              </w:rPr>
              <w:t>Одобрено е предложението за изменение и допълнение на одобрения текст на подмярка 4.1. Инвестиции в земеделските стопанства” свързано с - намаляване на максималния размер на допустимите разходи за един проект за един кандидат, както и за проекти, представляващи колективни инвестиции на 1 000 000 евро и намаляване на интензитета за подпомагане до 60% за индивидуален проект и до 70%  за колективни инвестиции, предоставени на признати групи и организации на производители.</w:t>
            </w:r>
          </w:p>
          <w:p w:rsidR="00A1205A" w:rsidRDefault="009E0DC1" w:rsidP="009E0DC1">
            <w:pPr>
              <w:numPr>
                <w:ilvl w:val="0"/>
                <w:numId w:val="30"/>
              </w:numPr>
              <w:spacing w:before="0" w:after="0"/>
              <w:ind w:hanging="210"/>
              <w:jc w:val="left"/>
              <w:rPr>
                <w:szCs w:val="24"/>
              </w:rPr>
            </w:pPr>
            <w:r>
              <w:rPr>
                <w:szCs w:val="24"/>
              </w:rPr>
              <w:t>Одобрено е предложението на УО на ПРСР за добавяне на нова допустима дейност, и допустими инвестиционни разходи, свързани с напояване в рамките на земеделските стопанства по подмярка 4.1. „Инвестиции в земеделски стопанства”.</w:t>
            </w:r>
          </w:p>
          <w:p w:rsidR="00A1205A" w:rsidRDefault="009E0DC1" w:rsidP="009E0DC1">
            <w:pPr>
              <w:numPr>
                <w:ilvl w:val="0"/>
                <w:numId w:val="30"/>
              </w:numPr>
              <w:spacing w:before="0" w:after="240"/>
              <w:ind w:hanging="210"/>
              <w:jc w:val="left"/>
              <w:rPr>
                <w:szCs w:val="24"/>
              </w:rPr>
            </w:pPr>
            <w:r>
              <w:rPr>
                <w:szCs w:val="24"/>
              </w:rPr>
              <w:t>Одобрено е предложението на УО за изменение и допълнение на мярка 14 „Хуманно отношение към животните” свързано с разширяване на обхвата на подпомаганите едри преживни животни (ЕПЖ) с включване на  говеда и биволи над 24 месеца за дейността „Осигуряване на свободна подова площ не по-малко от 10% над задължителния стандарт“.</w:t>
            </w:r>
          </w:p>
          <w:p w:rsidR="00A1205A" w:rsidRDefault="009E0DC1" w:rsidP="009E0DC1">
            <w:pPr>
              <w:numPr>
                <w:ilvl w:val="0"/>
                <w:numId w:val="31"/>
              </w:numPr>
              <w:spacing w:before="240" w:after="0"/>
              <w:ind w:hanging="210"/>
              <w:jc w:val="left"/>
              <w:rPr>
                <w:szCs w:val="24"/>
              </w:rPr>
            </w:pPr>
            <w:r>
              <w:rPr>
                <w:szCs w:val="24"/>
              </w:rPr>
              <w:t>Одобрено е предложението на УО за промяна, прецизиране и допълнение на критериите за подбор на проектни предложения по подмярка 4.1„Инвестиции в земеделски стопанства“.</w:t>
            </w:r>
          </w:p>
          <w:p w:rsidR="00A1205A" w:rsidRDefault="009E0DC1" w:rsidP="009E0DC1">
            <w:pPr>
              <w:numPr>
                <w:ilvl w:val="0"/>
                <w:numId w:val="31"/>
              </w:numPr>
              <w:spacing w:before="0" w:after="240"/>
              <w:ind w:hanging="210"/>
              <w:jc w:val="left"/>
              <w:rPr>
                <w:szCs w:val="24"/>
              </w:rPr>
            </w:pPr>
            <w:r>
              <w:rPr>
                <w:szCs w:val="24"/>
              </w:rPr>
              <w:t>Одобрено е предложението на УО на ПРСР за критериите за подбор на проектни предложения по подмярка 6.3. „Стартова помощ за развитие на малки стопанства /ТПП/.</w:t>
            </w:r>
          </w:p>
          <w:p w:rsidR="00A1205A" w:rsidRDefault="009E0DC1">
            <w:pPr>
              <w:spacing w:before="240" w:after="240"/>
              <w:jc w:val="left"/>
              <w:rPr>
                <w:szCs w:val="24"/>
              </w:rPr>
            </w:pPr>
            <w:r>
              <w:rPr>
                <w:b/>
                <w:bCs/>
                <w:szCs w:val="24"/>
              </w:rPr>
              <w:t>На проведеното на 05.07.2016 г. пето присъствено заседание на КН на ПРСР са разгледани и обсъдени  с партьорите и браншовите организации следните ключови въпроси:</w:t>
            </w:r>
          </w:p>
          <w:p w:rsidR="00A1205A" w:rsidRDefault="009E0DC1" w:rsidP="009E0DC1">
            <w:pPr>
              <w:numPr>
                <w:ilvl w:val="0"/>
                <w:numId w:val="32"/>
              </w:numPr>
              <w:spacing w:before="240" w:after="0"/>
              <w:ind w:hanging="210"/>
              <w:jc w:val="left"/>
              <w:rPr>
                <w:szCs w:val="24"/>
              </w:rPr>
            </w:pPr>
            <w:r>
              <w:rPr>
                <w:szCs w:val="24"/>
              </w:rPr>
              <w:t>Предложение на УО за критерии за подбор на проектни предложения по подмярка 7.2 „Инвестиции в създаването, подобряването или разширяването на всички видове малка по мащаби инфраструктура“;</w:t>
            </w:r>
          </w:p>
          <w:p w:rsidR="00A1205A" w:rsidRDefault="009E0DC1" w:rsidP="009E0DC1">
            <w:pPr>
              <w:numPr>
                <w:ilvl w:val="0"/>
                <w:numId w:val="32"/>
              </w:numPr>
              <w:spacing w:before="0" w:after="0"/>
              <w:ind w:hanging="210"/>
              <w:jc w:val="left"/>
              <w:rPr>
                <w:szCs w:val="24"/>
              </w:rPr>
            </w:pPr>
            <w:r>
              <w:rPr>
                <w:szCs w:val="24"/>
              </w:rPr>
              <w:t>Предложение на УО на ПРСР за допълнение към 2-ра нотификация - включване на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rsidR="00A1205A" w:rsidRDefault="009E0DC1" w:rsidP="009E0DC1">
            <w:pPr>
              <w:numPr>
                <w:ilvl w:val="0"/>
                <w:numId w:val="32"/>
              </w:numPr>
              <w:spacing w:before="0" w:after="240"/>
              <w:ind w:hanging="210"/>
              <w:jc w:val="left"/>
              <w:rPr>
                <w:szCs w:val="24"/>
              </w:rPr>
            </w:pPr>
            <w:r>
              <w:rPr>
                <w:szCs w:val="24"/>
              </w:rPr>
              <w:t>Представен финансовия напредък по прилагане на програмата и напредъка по обработката на заявления и докладване за нивото на грешки и предприети действия от страна на администрацията и бенефициентите;</w:t>
            </w:r>
          </w:p>
          <w:p w:rsidR="00A1205A" w:rsidRDefault="009E0DC1">
            <w:pPr>
              <w:spacing w:before="240" w:after="240"/>
              <w:jc w:val="left"/>
              <w:rPr>
                <w:szCs w:val="24"/>
              </w:rPr>
            </w:pPr>
            <w:r>
              <w:rPr>
                <w:b/>
                <w:bCs/>
                <w:szCs w:val="24"/>
              </w:rPr>
              <w:t>Решенията на КН от проведеното петото заседания са:</w:t>
            </w:r>
          </w:p>
          <w:p w:rsidR="00A1205A" w:rsidRDefault="009E0DC1" w:rsidP="009E0DC1">
            <w:pPr>
              <w:numPr>
                <w:ilvl w:val="0"/>
                <w:numId w:val="33"/>
              </w:numPr>
              <w:spacing w:before="240" w:after="0"/>
              <w:ind w:hanging="210"/>
              <w:jc w:val="left"/>
              <w:rPr>
                <w:szCs w:val="24"/>
              </w:rPr>
            </w:pPr>
            <w:r>
              <w:rPr>
                <w:szCs w:val="24"/>
              </w:rPr>
              <w:t>Одобрено предложението на УО на ПРСР за критерии за подбор на проектни предложения по подмярка 7.2 „Инвестиции в създаването, подобряването или разширяването на всички видове малка по мащаби инфраструктура“ от мярка 7 „Основни услуги и обновяване на селата в селските райони“ от Програмата за развитие на селските райони за периода 2014 - 2020 г. с  направените промени;</w:t>
            </w:r>
          </w:p>
          <w:p w:rsidR="00A1205A" w:rsidRDefault="009E0DC1" w:rsidP="009E0DC1">
            <w:pPr>
              <w:numPr>
                <w:ilvl w:val="0"/>
                <w:numId w:val="33"/>
              </w:numPr>
              <w:spacing w:before="0" w:after="240"/>
              <w:ind w:hanging="210"/>
              <w:jc w:val="left"/>
              <w:rPr>
                <w:szCs w:val="24"/>
              </w:rPr>
            </w:pPr>
            <w:r>
              <w:rPr>
                <w:szCs w:val="24"/>
              </w:rPr>
              <w:lastRenderedPageBreak/>
              <w:t>Одобрено предложението на УО на ПРСР за допълнение към 2-ра нотификация и е предоствавено санкция на Управляващия орган на Програмата да изпрати официално искането за промяна към Европейската комисия - включване на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правителство“;</w:t>
            </w:r>
          </w:p>
          <w:p w:rsidR="00A1205A" w:rsidRDefault="009E0DC1">
            <w:pPr>
              <w:spacing w:before="240" w:after="240"/>
              <w:jc w:val="left"/>
              <w:rPr>
                <w:szCs w:val="24"/>
              </w:rPr>
            </w:pPr>
            <w:r>
              <w:rPr>
                <w:b/>
                <w:bCs/>
                <w:szCs w:val="24"/>
              </w:rPr>
              <w:t>На проведеното на 09.12.2016 г. шесто присъствено заседание на КН на ПРСР са разгледани и обсъдени  с партьорите и браншовите организации следните ключови  въпроси:</w:t>
            </w:r>
          </w:p>
          <w:p w:rsidR="00A1205A" w:rsidRDefault="009E0DC1" w:rsidP="009E0DC1">
            <w:pPr>
              <w:numPr>
                <w:ilvl w:val="0"/>
                <w:numId w:val="34"/>
              </w:numPr>
              <w:spacing w:before="240" w:after="0"/>
              <w:ind w:hanging="210"/>
              <w:jc w:val="left"/>
              <w:rPr>
                <w:szCs w:val="24"/>
              </w:rPr>
            </w:pPr>
            <w:r>
              <w:rPr>
                <w:szCs w:val="24"/>
              </w:rPr>
              <w:t>Представена информация за напредъка на ПРСР 2014-2020 - по обработката на заявленията, постигане на индикаторите, нивото на грешки и предприети действия;</w:t>
            </w:r>
          </w:p>
          <w:p w:rsidR="00A1205A" w:rsidRDefault="009E0DC1" w:rsidP="009E0DC1">
            <w:pPr>
              <w:numPr>
                <w:ilvl w:val="0"/>
                <w:numId w:val="34"/>
              </w:numPr>
              <w:spacing w:before="0" w:after="0"/>
              <w:ind w:hanging="210"/>
              <w:jc w:val="left"/>
              <w:rPr>
                <w:szCs w:val="24"/>
              </w:rPr>
            </w:pPr>
            <w:r>
              <w:rPr>
                <w:szCs w:val="24"/>
              </w:rPr>
              <w:t>Предложение на УО на ПРСР за 3-то допълнение и изменение на Програмата за развитие на селските райони 2014-2020 г - предложение за изменение и допълнение на одобрения текст на мярка 7 „Основни услуги и обновяване на селата в селските райони“ и предложение за изменение и допълнение на одобрения текст на подмярка 4.2 „Инвестиции в преработка/маркетинг на селскостопански продукти“;</w:t>
            </w:r>
          </w:p>
          <w:p w:rsidR="00A1205A" w:rsidRDefault="009E0DC1" w:rsidP="009E0DC1">
            <w:pPr>
              <w:numPr>
                <w:ilvl w:val="0"/>
                <w:numId w:val="34"/>
              </w:numPr>
              <w:spacing w:before="0" w:after="0"/>
              <w:ind w:hanging="210"/>
              <w:jc w:val="left"/>
              <w:rPr>
                <w:szCs w:val="24"/>
              </w:rPr>
            </w:pPr>
            <w:r>
              <w:rPr>
                <w:szCs w:val="24"/>
              </w:rPr>
              <w:t>Предложение  на УО на ПРСР за промяна на критериите за подбор на проектни предложения по подмярка 4.2 „Инвестиции в преработка/маркетинг на селскостопански продукти“;</w:t>
            </w:r>
          </w:p>
          <w:p w:rsidR="00A1205A" w:rsidRDefault="009E0DC1" w:rsidP="009E0DC1">
            <w:pPr>
              <w:numPr>
                <w:ilvl w:val="0"/>
                <w:numId w:val="34"/>
              </w:numPr>
              <w:spacing w:before="0" w:after="0"/>
              <w:ind w:hanging="210"/>
              <w:jc w:val="left"/>
              <w:rPr>
                <w:szCs w:val="24"/>
              </w:rPr>
            </w:pPr>
            <w:r>
              <w:rPr>
                <w:szCs w:val="24"/>
              </w:rPr>
              <w:t>Предложение на УО на ПРСР за критерии за подбор на проектни предложения по подмярка 4.1.2  „Инвестиции в земеделски стопанства по Тематична подпрограма за развитие на малки стопанства“;</w:t>
            </w:r>
          </w:p>
          <w:p w:rsidR="00A1205A" w:rsidRDefault="009E0DC1" w:rsidP="009E0DC1">
            <w:pPr>
              <w:numPr>
                <w:ilvl w:val="0"/>
                <w:numId w:val="34"/>
              </w:numPr>
              <w:spacing w:before="0" w:after="0"/>
              <w:ind w:hanging="210"/>
              <w:jc w:val="left"/>
              <w:rPr>
                <w:szCs w:val="24"/>
              </w:rPr>
            </w:pPr>
            <w:r>
              <w:rPr>
                <w:szCs w:val="24"/>
              </w:rPr>
              <w:t>Предложение на УО на ПРСР за критерии за подбор на проектни предложения по подмярка 19.3 „Подготовка и изпълнение на дейности за сътрудничество на местни инициативни групи“;</w:t>
            </w:r>
          </w:p>
          <w:p w:rsidR="00A1205A" w:rsidRDefault="009E0DC1" w:rsidP="009E0DC1">
            <w:pPr>
              <w:numPr>
                <w:ilvl w:val="0"/>
                <w:numId w:val="34"/>
              </w:numPr>
              <w:spacing w:before="0" w:after="0"/>
              <w:ind w:hanging="210"/>
              <w:jc w:val="left"/>
              <w:rPr>
                <w:szCs w:val="24"/>
              </w:rPr>
            </w:pPr>
            <w:r>
              <w:rPr>
                <w:szCs w:val="24"/>
              </w:rPr>
              <w:t>Представена информация за напредъка по предварителната оценка за нуждата от прилагане на финансови инструменти по ПРСР 2014-2020 г.;</w:t>
            </w:r>
          </w:p>
          <w:p w:rsidR="00A1205A" w:rsidRDefault="009E0DC1" w:rsidP="009E0DC1">
            <w:pPr>
              <w:numPr>
                <w:ilvl w:val="0"/>
                <w:numId w:val="34"/>
              </w:numPr>
              <w:spacing w:before="0" w:after="0"/>
              <w:ind w:hanging="210"/>
              <w:jc w:val="left"/>
              <w:rPr>
                <w:szCs w:val="24"/>
              </w:rPr>
            </w:pPr>
            <w:r>
              <w:rPr>
                <w:szCs w:val="24"/>
              </w:rPr>
              <w:t>Представена информация за напредъка в изпълнението на предварителните условия като част от ПРСР;</w:t>
            </w:r>
          </w:p>
          <w:p w:rsidR="00A1205A" w:rsidRDefault="009E0DC1" w:rsidP="009E0DC1">
            <w:pPr>
              <w:numPr>
                <w:ilvl w:val="0"/>
                <w:numId w:val="34"/>
              </w:numPr>
              <w:spacing w:before="0" w:after="240"/>
              <w:ind w:hanging="210"/>
              <w:jc w:val="left"/>
              <w:rPr>
                <w:szCs w:val="24"/>
              </w:rPr>
            </w:pPr>
            <w:r>
              <w:rPr>
                <w:szCs w:val="24"/>
              </w:rPr>
              <w:t>Предложение за изменение на Вътрешните правила за работа на КН на ПРСР.</w:t>
            </w:r>
          </w:p>
          <w:p w:rsidR="00A1205A" w:rsidRDefault="009E0DC1">
            <w:pPr>
              <w:spacing w:before="240" w:after="240"/>
              <w:jc w:val="left"/>
              <w:rPr>
                <w:szCs w:val="24"/>
              </w:rPr>
            </w:pPr>
            <w:r>
              <w:rPr>
                <w:b/>
                <w:bCs/>
                <w:szCs w:val="24"/>
              </w:rPr>
              <w:t>Решенията на КН от проведеното шесто заседание са:</w:t>
            </w:r>
          </w:p>
          <w:p w:rsidR="00A1205A" w:rsidRDefault="009E0DC1" w:rsidP="009E0DC1">
            <w:pPr>
              <w:numPr>
                <w:ilvl w:val="0"/>
                <w:numId w:val="35"/>
              </w:numPr>
              <w:spacing w:before="240" w:after="0"/>
              <w:ind w:hanging="210"/>
              <w:jc w:val="left"/>
              <w:rPr>
                <w:szCs w:val="24"/>
              </w:rPr>
            </w:pPr>
            <w:r>
              <w:rPr>
                <w:szCs w:val="24"/>
              </w:rPr>
              <w:t>Одобрено предложение на УО на ПРСР за 3-то допълнение и изменение на Програмата за развитие на селските райони 2014-2020 г.;</w:t>
            </w:r>
          </w:p>
          <w:p w:rsidR="00A1205A" w:rsidRDefault="009E0DC1" w:rsidP="009E0DC1">
            <w:pPr>
              <w:numPr>
                <w:ilvl w:val="0"/>
                <w:numId w:val="35"/>
              </w:numPr>
              <w:spacing w:before="0" w:after="0"/>
              <w:ind w:hanging="210"/>
              <w:jc w:val="left"/>
              <w:rPr>
                <w:szCs w:val="24"/>
              </w:rPr>
            </w:pPr>
            <w:r>
              <w:rPr>
                <w:szCs w:val="24"/>
              </w:rPr>
              <w:t>Одобрено предложение  на УО на ПРСР за промяна на критериите за подбор на проектни предложения по подмярка 4.2 „Инвестиции в преработка/маркетинг на селскостопански продукти“;</w:t>
            </w:r>
          </w:p>
          <w:p w:rsidR="00A1205A" w:rsidRDefault="009E0DC1" w:rsidP="009E0DC1">
            <w:pPr>
              <w:numPr>
                <w:ilvl w:val="0"/>
                <w:numId w:val="35"/>
              </w:numPr>
              <w:spacing w:before="0" w:after="0"/>
              <w:ind w:hanging="210"/>
              <w:jc w:val="left"/>
              <w:rPr>
                <w:szCs w:val="24"/>
              </w:rPr>
            </w:pPr>
            <w:r>
              <w:rPr>
                <w:szCs w:val="24"/>
              </w:rPr>
              <w:t>Одобрено предложение на УО на ПРСР за критерии за подбор на проектни предложения по подмярка 4.1.2  „Инвестиции в земеделски стопанства по Тематична подпрограма за развитие на малки стопанства“;</w:t>
            </w:r>
          </w:p>
          <w:p w:rsidR="00A1205A" w:rsidRDefault="009E0DC1" w:rsidP="009E0DC1">
            <w:pPr>
              <w:numPr>
                <w:ilvl w:val="0"/>
                <w:numId w:val="35"/>
              </w:numPr>
              <w:spacing w:before="0" w:after="240"/>
              <w:ind w:hanging="210"/>
              <w:jc w:val="left"/>
              <w:rPr>
                <w:szCs w:val="24"/>
              </w:rPr>
            </w:pPr>
            <w:r>
              <w:rPr>
                <w:szCs w:val="24"/>
              </w:rPr>
              <w:t>Одобрено предложение на УО на ПРСР за критерии за подбор на проектни предложения по подмярка 19.3 „Подготовка и изпълнение на дейности за сътрудничество на местни инициативни групи“;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Проведена писмена процедура на Комитета по наблюдение на ПРСР  2014-2020 г.</w:t>
            </w:r>
          </w:p>
          <w:p w:rsidR="00A1205A" w:rsidRDefault="009E0DC1">
            <w:pPr>
              <w:spacing w:before="240" w:after="240"/>
              <w:jc w:val="left"/>
              <w:rPr>
                <w:szCs w:val="24"/>
              </w:rPr>
            </w:pPr>
            <w:r>
              <w:rPr>
                <w:szCs w:val="24"/>
              </w:rPr>
              <w:t xml:space="preserve">В периода 16.06.2016  - 30.06.2016 г. е проведена писмена съгласувателна процедура на Комитета за </w:t>
            </w:r>
            <w:r>
              <w:rPr>
                <w:szCs w:val="24"/>
              </w:rPr>
              <w:lastRenderedPageBreak/>
              <w:t>наблюдение на ПРСР 2014-2020 г. за разглеждане и одобрение на проект на Годишен  доклад за изпълнението на ПРСР (2007-2013 г.) за периода 01.01.2015 г. – 31.12.2015 г. и на Годишен  доклад за изпълнението на ПРСР (2014-2020 г.) за периода 01.01.2015 г. – 31.12.2015 г.</w:t>
            </w:r>
          </w:p>
          <w:p w:rsidR="00A1205A" w:rsidRDefault="009E0DC1">
            <w:pPr>
              <w:spacing w:before="240" w:after="240"/>
              <w:jc w:val="left"/>
              <w:rPr>
                <w:szCs w:val="24"/>
              </w:rPr>
            </w:pPr>
            <w:r>
              <w:rPr>
                <w:szCs w:val="24"/>
              </w:rPr>
              <w:t>В периода 31.08.2016  - 15.09.2016 г. е проведена писмена съгласувателна процедура на Комитета за наблюдение на ПРСР 2014-2020 г. за разглеждане и одобрение на предложение на УО за допълнение и изменение на критериите за подбор на проектни предложения по подмярка 4.1 „Инвестиции в земеделските стопанства“, свързани с напояване в земеделските стопанства. В резултат на проведената процедура Комитетът за наблюдение на ПРСР, приема предложените от Управляващия Орган на Програмата допълнения и изменения на критериите за оценка на проектни предложения по под-мярка 4.1 „Инвестиции в земеделските стопанства“, свързани с напояване в земеделските стопанства.</w:t>
            </w:r>
          </w:p>
          <w:p w:rsidR="00A1205A" w:rsidRDefault="009E0DC1">
            <w:pPr>
              <w:spacing w:before="240" w:after="240"/>
              <w:jc w:val="left"/>
              <w:rPr>
                <w:szCs w:val="24"/>
              </w:rPr>
            </w:pPr>
            <w:r>
              <w:rPr>
                <w:szCs w:val="24"/>
              </w:rPr>
              <w:t>Взетето решение е изключително важно предви определения в края на 2016 г. период на прием в рамките, на които са включени като допустими за подпомагане и инвестиции за нопояване в рамките на земеделските стопанства.</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b/>
                <w:bCs/>
                <w:szCs w:val="24"/>
              </w:rPr>
              <w:t>Изменения на ПРСР 2014-2020 през 2016 г.</w:t>
            </w:r>
          </w:p>
          <w:p w:rsidR="00A1205A" w:rsidRDefault="009E0DC1" w:rsidP="009E0DC1">
            <w:pPr>
              <w:numPr>
                <w:ilvl w:val="0"/>
                <w:numId w:val="36"/>
              </w:numPr>
              <w:spacing w:before="240" w:after="240"/>
              <w:ind w:hanging="210"/>
              <w:jc w:val="left"/>
              <w:rPr>
                <w:szCs w:val="24"/>
              </w:rPr>
            </w:pPr>
            <w:r>
              <w:rPr>
                <w:szCs w:val="24"/>
              </w:rPr>
              <w:t>Искането за първо изменение на Програмата е представено пред ЕК в края на месец декември 2015 г., същинската работа и дускисиите по него са направени в началото на 2016 г. Предложението за изменение включва</w:t>
            </w:r>
          </w:p>
          <w:p w:rsidR="00A1205A" w:rsidRDefault="009E0DC1">
            <w:pPr>
              <w:spacing w:before="240" w:after="240"/>
              <w:jc w:val="left"/>
              <w:rPr>
                <w:szCs w:val="24"/>
              </w:rPr>
            </w:pPr>
            <w:r>
              <w:rPr>
                <w:szCs w:val="24"/>
              </w:rPr>
              <w:t>изменения в рамките на Тематичната подпрограма (ТПП) за малки стопанства свързано със сектор „животновъдсто“ и въвеждане на ново направление в мярка 10 „Агроекология и климат“, насочено към подсигуряване на разнообразна паша на пчелите и осигуряване на естествено опрашване.</w:t>
            </w:r>
          </w:p>
          <w:p w:rsidR="00A1205A" w:rsidRDefault="009E0DC1">
            <w:pPr>
              <w:spacing w:before="240" w:after="240"/>
              <w:jc w:val="left"/>
              <w:rPr>
                <w:szCs w:val="24"/>
              </w:rPr>
            </w:pPr>
            <w:r>
              <w:rPr>
                <w:szCs w:val="24"/>
              </w:rPr>
              <w:t>В резултат на проведените преговори с представителите на ЕК, предложението за първо изменение е одобрено на 5 юли 2016 г. и включва:</w:t>
            </w:r>
          </w:p>
          <w:p w:rsidR="00A1205A" w:rsidRDefault="009E0DC1" w:rsidP="009E0DC1">
            <w:pPr>
              <w:numPr>
                <w:ilvl w:val="0"/>
                <w:numId w:val="37"/>
              </w:numPr>
              <w:spacing w:before="240" w:after="240"/>
              <w:ind w:hanging="210"/>
              <w:jc w:val="left"/>
              <w:rPr>
                <w:szCs w:val="24"/>
              </w:rPr>
            </w:pPr>
            <w:r>
              <w:rPr>
                <w:szCs w:val="24"/>
              </w:rPr>
              <w:t>въведено е ново направление към мярка 10 АЕП – насочено към подсигуряване естествено опрашване и разнообразна паша на пчелите.</w:t>
            </w:r>
          </w:p>
          <w:p w:rsidR="00A1205A" w:rsidRDefault="009E0DC1">
            <w:pPr>
              <w:spacing w:before="240" w:after="240"/>
              <w:jc w:val="left"/>
              <w:rPr>
                <w:szCs w:val="24"/>
              </w:rPr>
            </w:pPr>
            <w:r>
              <w:rPr>
                <w:szCs w:val="24"/>
              </w:rPr>
              <w:t>Целта на новото направление е да се подпомагат земеделски стопани, които поемат ангажимент за преместване и разполагане на пчелни семейства в територии, важни за биоразнообразието, като по този начин стимулират развитието на прилежащата растителност. Дейността по направлението е предвидено да се изпълнява на част от територията на страната</w:t>
            </w:r>
          </w:p>
          <w:p w:rsidR="00A1205A" w:rsidRDefault="009E0DC1" w:rsidP="009E0DC1">
            <w:pPr>
              <w:numPr>
                <w:ilvl w:val="0"/>
                <w:numId w:val="38"/>
              </w:numPr>
              <w:spacing w:before="240" w:after="240"/>
              <w:ind w:hanging="210"/>
              <w:jc w:val="left"/>
              <w:rPr>
                <w:szCs w:val="24"/>
              </w:rPr>
            </w:pPr>
            <w:r>
              <w:rPr>
                <w:szCs w:val="24"/>
              </w:rPr>
              <w:t>промени в Тематична подпрограма /ТПП/ за малки стопанства.</w:t>
            </w:r>
          </w:p>
          <w:p w:rsidR="00A1205A" w:rsidRDefault="009E0DC1">
            <w:pPr>
              <w:spacing w:before="240" w:after="240"/>
              <w:jc w:val="left"/>
              <w:rPr>
                <w:szCs w:val="24"/>
              </w:rPr>
            </w:pPr>
            <w:r>
              <w:rPr>
                <w:szCs w:val="24"/>
              </w:rPr>
              <w:t>Чрез направените промени се включват в инвестиционната подкрепа за малки стопанства с производствен обем от 6 000 евро до 7 999 евро и сектор „Животновъдство“. Тази инвестиционна подкрепа е предвидено да бъде насочена към малки животновъдни стопанства в планински райони на страната.</w:t>
            </w:r>
          </w:p>
          <w:p w:rsidR="00A1205A" w:rsidRDefault="009E0DC1">
            <w:pPr>
              <w:spacing w:before="240" w:after="240"/>
              <w:jc w:val="left"/>
              <w:rPr>
                <w:szCs w:val="24"/>
              </w:rPr>
            </w:pPr>
            <w:r>
              <w:rPr>
                <w:szCs w:val="24"/>
              </w:rPr>
              <w:t>С измението са направени и технически промени в мярка 2 с цел прецизиране на ползваните наименования на отделните схеми за подпомагане, както и промяна в броя на допълнителният персонал към УО с увеличение от 20 на 30 души.</w:t>
            </w:r>
          </w:p>
          <w:p w:rsidR="00A1205A" w:rsidRDefault="009E0DC1">
            <w:pPr>
              <w:spacing w:before="240" w:after="240"/>
              <w:jc w:val="left"/>
              <w:rPr>
                <w:szCs w:val="24"/>
              </w:rPr>
            </w:pPr>
            <w:r>
              <w:rPr>
                <w:szCs w:val="24"/>
              </w:rPr>
              <w:lastRenderedPageBreak/>
              <w:t> </w:t>
            </w:r>
          </w:p>
          <w:p w:rsidR="00A1205A" w:rsidRDefault="009E0DC1">
            <w:pPr>
              <w:spacing w:before="240" w:after="240"/>
              <w:jc w:val="left"/>
              <w:rPr>
                <w:szCs w:val="24"/>
              </w:rPr>
            </w:pPr>
            <w:r>
              <w:rPr>
                <w:szCs w:val="24"/>
              </w:rPr>
              <w:t>Второ изменение на ПРСР е представено пред ЕК на 21.07.2016, като с него е отправено искане за промяна в подмярка 4.1 свързано с промяна на финансовите условия и включването на нова допустима дейност за напояване в змеделескитге стопанства. В искането за промяна са включени и мерки 14, 7.2, 7.3 и мярка  19.</w:t>
            </w:r>
          </w:p>
          <w:p w:rsidR="00A1205A" w:rsidRDefault="009E0DC1">
            <w:pPr>
              <w:spacing w:before="240" w:after="240"/>
              <w:jc w:val="left"/>
              <w:rPr>
                <w:szCs w:val="24"/>
              </w:rPr>
            </w:pPr>
            <w:r>
              <w:rPr>
                <w:szCs w:val="24"/>
              </w:rPr>
              <w:t>В резултат на проведените преговори с представителите на ЕК, предложението за второ изменение е одобрено на 16.09.2016 г. и включва:</w:t>
            </w:r>
          </w:p>
          <w:p w:rsidR="00A1205A" w:rsidRDefault="009E0DC1">
            <w:pPr>
              <w:spacing w:before="240" w:after="240"/>
              <w:jc w:val="left"/>
              <w:rPr>
                <w:szCs w:val="24"/>
              </w:rPr>
            </w:pPr>
            <w:r>
              <w:rPr>
                <w:szCs w:val="24"/>
              </w:rPr>
              <w:t>Промените по подмярка 4.1 са свъразни с намаляване на максималният размер на допустимите разходи за един проект и един кандидат, както и промени в максималния интензитет на финансовата помощ. Добавена е нова допустима дейност и инвестиции за напояване в подмярка 4.1 в рамките на земеделските стопанства при спазване на изискванията на чл. 46 от Регламент 1305/2013. Идентична дейност е добавена и в подмярка 4.1.2 от тематичната подпрограма за малки стопанства.</w:t>
            </w:r>
          </w:p>
          <w:p w:rsidR="00A1205A" w:rsidRDefault="009E0DC1">
            <w:pPr>
              <w:spacing w:before="240" w:after="240"/>
              <w:jc w:val="left"/>
              <w:rPr>
                <w:szCs w:val="24"/>
              </w:rPr>
            </w:pPr>
            <w:r>
              <w:rPr>
                <w:szCs w:val="24"/>
              </w:rPr>
              <w:t>Промените по мярка 14 включват в дейност „Осигуряване на свободна подова площ 10 % над минималния стандарт“ от подмярка 14.1 „Плащания за хуманно отношение към животните от сектор ЕПЖ“  възможност за подпомагане на крави и биволици на възраст над 24 месеца. По този начин се разширява обхвата на подпомаганите жвитони в сектор ЕПЖ.</w:t>
            </w:r>
          </w:p>
          <w:p w:rsidR="00A1205A" w:rsidRDefault="009E0DC1">
            <w:pPr>
              <w:spacing w:before="240" w:after="240"/>
              <w:jc w:val="left"/>
              <w:rPr>
                <w:szCs w:val="24"/>
              </w:rPr>
            </w:pPr>
            <w:r>
              <w:rPr>
                <w:szCs w:val="24"/>
              </w:rPr>
              <w:t>Промените в мярка 19 „Водено от общностите местно развитие”(ВОМР) са свъразни с промяна на текстове чрез, които се пяснява, че подмерки 19.1 „Помощ за подготвителни дейности”, 19.3 „Подготовка и изпълнение на дейности за сътрудничество на местни инициативни групи” и 19.4 „Текущите разходи и популяризиране на стратегията за ВОМР” ще могат да се изпълняват  на цялата територия на прилагане на подхода ВОМР.</w:t>
            </w:r>
          </w:p>
          <w:p w:rsidR="00A1205A" w:rsidRDefault="009E0DC1">
            <w:pPr>
              <w:spacing w:before="240" w:after="240"/>
              <w:jc w:val="left"/>
              <w:rPr>
                <w:szCs w:val="24"/>
              </w:rPr>
            </w:pPr>
            <w:r>
              <w:rPr>
                <w:szCs w:val="24"/>
              </w:rPr>
              <w:t>Разработен е текст на подмярка 7.3 „Подпомагане на широколентова инфраструктура, включително нейното създаване, подобрение и разширяване, пасивна широколентова инфраструктура и мерки за достъп до решения чрез широколентова инфраструктура и електронно управление.“ Средствата предвидени по подмяраката са насочени основно за финансиране на пасивна широколентова инфраструктура за достъп от ново поколение, в селските райони от белите  и сиви зони. Също така е предиведно разходите за изграждане на пасивна широколентова инфраструктура за достъп от ново поколение да бъдат оптимизирани като се синхронизират с други проекти за реконструкция или изграждане на пътна и друга инфраструктура, като по този начин се мултиплицира крайният ефект.</w:t>
            </w:r>
          </w:p>
          <w:p w:rsidR="00A1205A" w:rsidRDefault="009E0DC1">
            <w:pPr>
              <w:spacing w:before="240" w:after="240"/>
              <w:jc w:val="left"/>
              <w:rPr>
                <w:szCs w:val="24"/>
              </w:rPr>
            </w:pPr>
            <w:r>
              <w:rPr>
                <w:szCs w:val="24"/>
              </w:rPr>
              <w:t>Промяна в подмярка 7.2 е свързана с прецизиране на текстовоте с цел по – голяма яснота при нейното прилагане.</w:t>
            </w:r>
          </w:p>
          <w:p w:rsidR="00A1205A" w:rsidRDefault="009E0DC1">
            <w:pPr>
              <w:spacing w:before="240" w:after="240"/>
              <w:jc w:val="left"/>
              <w:rPr>
                <w:szCs w:val="24"/>
              </w:rPr>
            </w:pPr>
            <w:r>
              <w:rPr>
                <w:szCs w:val="24"/>
              </w:rPr>
              <w:t>Подготовката на трето изменение на ПРСР е стартирало след провеждане на Комитет по наблюдение през месец декември 2016 г., като в него е превидено включването на искане за промяна в подмярка 4.2 свързано с прецизиране на финансовите условия и прецизиране на текста на подмярка 7.2. Трето искане за измение на ПРСР е одобрено от страна ан ЕК на 22.02.2017 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Прилагането на публикуваният в края на 2015 г. индикативен график за прием на заявления за подпомагане през 2016 г. е стартирал с прием на заявления по мерките свъразни с плащания на площ /10, 11, 12, 13/. Въпреки, че за 2016 е планиран прием на заявления за подпомаген по мярка 1 такъв не е проведен през годината, също така не е обявен прием и по мярка 14 и подмярка 4.2.</w:t>
            </w:r>
          </w:p>
          <w:p w:rsidR="00A1205A" w:rsidRDefault="009E0DC1">
            <w:pPr>
              <w:spacing w:before="240" w:after="240"/>
              <w:jc w:val="left"/>
              <w:rPr>
                <w:szCs w:val="24"/>
              </w:rPr>
            </w:pPr>
            <w:r>
              <w:rPr>
                <w:szCs w:val="24"/>
              </w:rPr>
              <w:lastRenderedPageBreak/>
              <w:t>През 2016 г. са проведени приеми и по мерки/подмерки 2.1.2, 4.1, 6.3, 7.2, 7.6 и 19.2. Всички приеми през годината се характеризират с изключително висок интерес от страна на потенциалните кандидати, което е създало условие на ограничен бюджет.</w:t>
            </w:r>
          </w:p>
          <w:p w:rsidR="00A1205A" w:rsidRDefault="009E0DC1">
            <w:pPr>
              <w:spacing w:before="240" w:after="240"/>
              <w:jc w:val="left"/>
              <w:rPr>
                <w:szCs w:val="24"/>
              </w:rPr>
            </w:pPr>
            <w:r>
              <w:rPr>
                <w:szCs w:val="24"/>
              </w:rPr>
              <w:t>Следвайки принципа на информианост в края на 2016 г. Управляващият орган е разработил индикативен график за мерките от ПРСР 2014-2020 за календарната 2017 г., който  е публикуван на интернет сайта на министерство на земеделието и храните и ДФ „Земеделие“.</w:t>
            </w:r>
          </w:p>
          <w:p w:rsidR="00A1205A" w:rsidRDefault="009E0DC1">
            <w:pPr>
              <w:spacing w:before="240" w:after="240"/>
              <w:jc w:val="left"/>
              <w:rPr>
                <w:szCs w:val="24"/>
              </w:rPr>
            </w:pPr>
            <w:r>
              <w:rPr>
                <w:szCs w:val="24"/>
              </w:rPr>
              <w:t>Целта на публикувания график е да създаде предсказуемност за бенефициените по отношение на приемите, които предстои да бъдат отворени, на базата на което бенефициентите да планират и подготвят по-добре проектните се предложения.</w:t>
            </w:r>
          </w:p>
          <w:p w:rsidR="00A1205A" w:rsidRDefault="00A1205A">
            <w:pPr>
              <w:pStyle w:val="BodyText"/>
            </w:pPr>
          </w:p>
        </w:tc>
      </w:tr>
    </w:tbl>
    <w:p w:rsidR="00A1205A" w:rsidRDefault="009E0DC1">
      <w:pPr>
        <w:pStyle w:val="Heading2"/>
      </w:pPr>
      <w:bookmarkStart w:id="18" w:name="_Toc256000017"/>
      <w:r>
        <w:lastRenderedPageBreak/>
        <w:t>Качество и ефикасност на механизмите за изпълнение</w:t>
      </w:r>
      <w:bookmarkEnd w:id="18"/>
    </w:p>
    <w:p w:rsidR="00A1205A" w:rsidRDefault="009E0DC1">
      <w:r>
        <w:rPr>
          <w:szCs w:val="24"/>
        </w:rPr>
        <w:t xml:space="preserve">Опростени варианти за разходите (ОВР) </w:t>
      </w:r>
      <w:r>
        <w:rPr>
          <w:sz w:val="30"/>
          <w:szCs w:val="30"/>
          <w:vertAlign w:val="superscript"/>
        </w:rPr>
        <w:t>1</w:t>
      </w:r>
      <w:r>
        <w:rPr>
          <w:szCs w:val="24"/>
        </w:rPr>
        <w:t>, косвен показател, изчислен автоматично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02"/>
        <w:gridCol w:w="1518"/>
        <w:gridCol w:w="1057"/>
        <w:gridCol w:w="1191"/>
      </w:tblGrid>
      <w:tr w:rsidR="00A1205A">
        <w:tc>
          <w:tcPr>
            <w:tcW w:w="3750" w:type="pct"/>
            <w:shd w:val="clear" w:color="auto" w:fill="C0C0C0"/>
            <w:tcMar>
              <w:top w:w="20" w:type="dxa"/>
              <w:left w:w="20" w:type="dxa"/>
              <w:bottom w:w="20" w:type="dxa"/>
            </w:tcMar>
            <w:vAlign w:val="center"/>
          </w:tcPr>
          <w:p w:rsidR="00A1205A" w:rsidRDefault="009E0DC1">
            <w:pPr>
              <w:jc w:val="center"/>
              <w:rPr>
                <w:sz w:val="16"/>
              </w:rPr>
            </w:pPr>
            <w:r>
              <w:rPr>
                <w:szCs w:val="24"/>
              </w:rPr>
              <w:t>            </w:t>
            </w:r>
          </w:p>
        </w:tc>
        <w:tc>
          <w:tcPr>
            <w:tcW w:w="3750" w:type="pct"/>
            <w:shd w:val="clear" w:color="auto" w:fill="C0C0C0"/>
            <w:tcMar>
              <w:top w:w="20" w:type="dxa"/>
              <w:left w:w="20" w:type="dxa"/>
              <w:bottom w:w="20" w:type="dxa"/>
            </w:tcMar>
            <w:vAlign w:val="center"/>
          </w:tcPr>
          <w:p w:rsidR="00A1205A" w:rsidRDefault="009E0DC1">
            <w:pPr>
              <w:jc w:val="center"/>
              <w:rPr>
                <w:sz w:val="16"/>
              </w:rPr>
            </w:pPr>
            <w:r>
              <w:rPr>
                <w:sz w:val="16"/>
              </w:rPr>
              <w:t>ООбщ размер на финансовите средства, отпуснати по ПРСР [ЕЗФРСР]</w:t>
            </w:r>
          </w:p>
        </w:tc>
        <w:tc>
          <w:tcPr>
            <w:tcW w:w="3750" w:type="pct"/>
            <w:shd w:val="clear" w:color="auto" w:fill="C0C0C0"/>
            <w:tcMar>
              <w:top w:w="20" w:type="dxa"/>
              <w:left w:w="20" w:type="dxa"/>
              <w:bottom w:w="20" w:type="dxa"/>
            </w:tcMar>
            <w:vAlign w:val="center"/>
          </w:tcPr>
          <w:p w:rsidR="00A1205A" w:rsidRDefault="009E0DC1">
            <w:pPr>
              <w:jc w:val="center"/>
              <w:rPr>
                <w:sz w:val="16"/>
              </w:rPr>
            </w:pPr>
            <w:r>
              <w:rPr>
                <w:sz w:val="17"/>
                <w:szCs w:val="17"/>
              </w:rPr>
              <w:t>[%] на планираното покритие на ОВР от общите отпуснати средства за ПРСР</w:t>
            </w:r>
            <w:r>
              <w:rPr>
                <w:sz w:val="21"/>
                <w:szCs w:val="21"/>
                <w:vertAlign w:val="superscript"/>
              </w:rPr>
              <w:t>2</w:t>
            </w:r>
          </w:p>
        </w:tc>
        <w:tc>
          <w:tcPr>
            <w:tcW w:w="3750" w:type="pct"/>
            <w:shd w:val="clear" w:color="auto" w:fill="C0C0C0"/>
            <w:tcMar>
              <w:top w:w="20" w:type="dxa"/>
              <w:left w:w="20" w:type="dxa"/>
              <w:bottom w:w="20" w:type="dxa"/>
            </w:tcMar>
            <w:vAlign w:val="center"/>
          </w:tcPr>
          <w:p w:rsidR="00A1205A" w:rsidRDefault="009E0DC1">
            <w:pPr>
              <w:jc w:val="center"/>
              <w:rPr>
                <w:sz w:val="16"/>
              </w:rPr>
            </w:pPr>
            <w:r>
              <w:rPr>
                <w:sz w:val="17"/>
                <w:szCs w:val="17"/>
              </w:rPr>
              <w:t>[%] на реализираните разходи посредством ОВР от общите отпуснати средства за ПРСР (кумулативни данни)</w:t>
            </w:r>
            <w:r>
              <w:rPr>
                <w:sz w:val="21"/>
                <w:szCs w:val="21"/>
                <w:vertAlign w:val="superscript"/>
              </w:rPr>
              <w:t>3</w:t>
            </w: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A1205A" w:rsidRDefault="009E0DC1">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A1205A" w:rsidRDefault="009E0DC1">
            <w:pPr>
              <w:spacing w:before="20" w:after="20"/>
              <w:jc w:val="right"/>
              <w:rPr>
                <w:sz w:val="16"/>
              </w:rPr>
            </w:pPr>
            <w:r>
              <w:rPr>
                <w:sz w:val="16"/>
              </w:rPr>
              <w:t>37,54</w:t>
            </w:r>
          </w:p>
        </w:tc>
        <w:tc>
          <w:tcPr>
            <w:tcW w:w="1250" w:type="pct"/>
            <w:shd w:val="clear" w:color="auto" w:fill="FFFFFF"/>
            <w:tcMar>
              <w:top w:w="20" w:type="dxa"/>
              <w:left w:w="20" w:type="dxa"/>
              <w:bottom w:w="20" w:type="dxa"/>
            </w:tcMar>
            <w:vAlign w:val="center"/>
          </w:tcPr>
          <w:p w:rsidR="00A1205A" w:rsidRDefault="009E0DC1">
            <w:pPr>
              <w:spacing w:before="20" w:after="20"/>
              <w:jc w:val="right"/>
              <w:rPr>
                <w:sz w:val="16"/>
              </w:rPr>
            </w:pPr>
            <w:r>
              <w:rPr>
                <w:sz w:val="16"/>
              </w:rPr>
              <w:t>4,82</w:t>
            </w:r>
          </w:p>
        </w:tc>
      </w:tr>
    </w:tbl>
    <w:p w:rsidR="00A1205A" w:rsidRDefault="009E0DC1">
      <w:r>
        <w:rPr>
          <w:sz w:val="21"/>
          <w:szCs w:val="21"/>
          <w:vertAlign w:val="superscript"/>
        </w:rPr>
        <w:t>1</w:t>
      </w:r>
      <w:r>
        <w:rPr>
          <w:sz w:val="17"/>
          <w:szCs w:val="17"/>
        </w:rPr>
        <w:t xml:space="preserve"> Опростените варианти за разходите представляват единични разходи/единни ставки/еднократни суми по член 67, параграф 5 от РОР, включително специфичните методи за ЕЗФРСР, предвидени в буква д) от същия член, като например еднократните суми за започване на дейност, плащанията с единни ставки към организации на производители и единични разходи, свързани с площта и животните.</w:t>
      </w:r>
    </w:p>
    <w:p w:rsidR="00A1205A" w:rsidRDefault="009E0DC1">
      <w:r>
        <w:rPr>
          <w:sz w:val="21"/>
          <w:szCs w:val="21"/>
          <w:vertAlign w:val="superscript"/>
        </w:rPr>
        <w:t>2</w:t>
      </w:r>
      <w:r>
        <w:rPr>
          <w:sz w:val="17"/>
          <w:szCs w:val="17"/>
        </w:rPr>
        <w:t xml:space="preserve"> Автоматично изчислени от мерки 06, 09, 10, 11, 12, 13, 14, 15, 18 на версията на програмата</w:t>
      </w:r>
    </w:p>
    <w:p w:rsidR="00A1205A" w:rsidRDefault="009E0DC1">
      <w:r>
        <w:rPr>
          <w:sz w:val="21"/>
          <w:szCs w:val="21"/>
          <w:vertAlign w:val="superscript"/>
        </w:rPr>
        <w:t>3</w:t>
      </w:r>
      <w:r>
        <w:rPr>
          <w:sz w:val="17"/>
          <w:szCs w:val="17"/>
        </w:rPr>
        <w:t xml:space="preserve"> Автоматично изчислен от декларациите за разходи по мерки 106, 09, 10, 11, 12, 13, 14, 15, 18</w:t>
      </w:r>
    </w:p>
    <w:p w:rsidR="00A1205A" w:rsidRDefault="009E0DC1">
      <w:r>
        <w:rPr>
          <w:szCs w:val="24"/>
        </w:rPr>
        <w:t>Опростени варианти за разходите (ОВР), въз основа на специфични подробни данни от държавите членки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2"/>
        <w:gridCol w:w="2642"/>
        <w:gridCol w:w="2642"/>
        <w:gridCol w:w="2642"/>
      </w:tblGrid>
      <w:tr w:rsidR="00A1205A">
        <w:tc>
          <w:tcPr>
            <w:tcW w:w="1250" w:type="pct"/>
            <w:shd w:val="clear" w:color="auto" w:fill="C0C0C0"/>
            <w:tcMar>
              <w:top w:w="20" w:type="dxa"/>
              <w:left w:w="20" w:type="dxa"/>
              <w:bottom w:w="20" w:type="dxa"/>
            </w:tcMar>
            <w:vAlign w:val="center"/>
          </w:tcPr>
          <w:p w:rsidR="00A1205A" w:rsidRDefault="009E0DC1">
            <w:pPr>
              <w:jc w:val="center"/>
              <w:rPr>
                <w:sz w:val="16"/>
              </w:rPr>
            </w:pPr>
            <w:r>
              <w:rPr>
                <w:szCs w:val="24"/>
              </w:rPr>
              <w:t>            </w:t>
            </w:r>
          </w:p>
        </w:tc>
        <w:tc>
          <w:tcPr>
            <w:tcW w:w="1250" w:type="pct"/>
            <w:shd w:val="clear" w:color="auto" w:fill="C0C0C0"/>
            <w:tcMar>
              <w:top w:w="20" w:type="dxa"/>
              <w:left w:w="20" w:type="dxa"/>
              <w:bottom w:w="20" w:type="dxa"/>
            </w:tcMar>
            <w:vAlign w:val="center"/>
          </w:tcPr>
          <w:p w:rsidR="00A1205A" w:rsidRDefault="009E0DC1">
            <w:pPr>
              <w:jc w:val="center"/>
              <w:rPr>
                <w:sz w:val="16"/>
              </w:rPr>
            </w:pPr>
            <w:r>
              <w:rPr>
                <w:sz w:val="16"/>
              </w:rPr>
              <w:t>ООбщ размер на финансовите средства, отпуснати по ПРСР [ЕЗФРСР]</w:t>
            </w:r>
          </w:p>
        </w:tc>
        <w:tc>
          <w:tcPr>
            <w:tcW w:w="1250" w:type="pct"/>
            <w:shd w:val="clear" w:color="auto" w:fill="C0C0C0"/>
            <w:tcMar>
              <w:top w:w="20" w:type="dxa"/>
              <w:left w:w="20" w:type="dxa"/>
              <w:bottom w:w="20" w:type="dxa"/>
            </w:tcMar>
            <w:vAlign w:val="center"/>
          </w:tcPr>
          <w:p w:rsidR="00A1205A" w:rsidRDefault="009E0DC1">
            <w:pPr>
              <w:jc w:val="center"/>
              <w:rPr>
                <w:sz w:val="16"/>
              </w:rPr>
            </w:pPr>
            <w:r>
              <w:rPr>
                <w:sz w:val="17"/>
                <w:szCs w:val="17"/>
              </w:rPr>
              <w:t>[%] на планираното покритие на ОВР от общите отпуснати средства за ПРСР</w:t>
            </w:r>
          </w:p>
        </w:tc>
        <w:tc>
          <w:tcPr>
            <w:tcW w:w="1250" w:type="pct"/>
            <w:shd w:val="clear" w:color="auto" w:fill="C0C0C0"/>
            <w:tcMar>
              <w:top w:w="20" w:type="dxa"/>
              <w:left w:w="20" w:type="dxa"/>
              <w:bottom w:w="20" w:type="dxa"/>
            </w:tcMar>
            <w:vAlign w:val="center"/>
          </w:tcPr>
          <w:p w:rsidR="00A1205A" w:rsidRDefault="009E0DC1">
            <w:pPr>
              <w:jc w:val="center"/>
              <w:rPr>
                <w:sz w:val="16"/>
              </w:rPr>
            </w:pPr>
            <w:r>
              <w:rPr>
                <w:sz w:val="17"/>
                <w:szCs w:val="17"/>
              </w:rPr>
              <w:t>[%] на реализираните разходи посредством ОВР от общите отпуснати средства за ПРСР (кумулативни данни)</w:t>
            </w: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t>Общо по силата на член 67, параграф 1, буква б), в) и г) + член 67, параграф 5, буква д) от РОР</w:t>
            </w:r>
          </w:p>
        </w:tc>
        <w:tc>
          <w:tcPr>
            <w:tcW w:w="1250" w:type="pct"/>
            <w:shd w:val="clear" w:color="auto" w:fill="FFFFFF"/>
            <w:tcMar>
              <w:top w:w="20" w:type="dxa"/>
              <w:left w:w="20" w:type="dxa"/>
              <w:bottom w:w="20" w:type="dxa"/>
            </w:tcMar>
            <w:vAlign w:val="center"/>
          </w:tcPr>
          <w:p w:rsidR="00A1205A" w:rsidRDefault="009E0DC1">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t>Специфични за фондовете методи, член 67, параграф 5, буква д) от РОР</w:t>
            </w:r>
          </w:p>
        </w:tc>
        <w:tc>
          <w:tcPr>
            <w:tcW w:w="1250" w:type="pct"/>
            <w:shd w:val="clear" w:color="auto" w:fill="FFFFFF"/>
            <w:tcMar>
              <w:top w:w="20" w:type="dxa"/>
              <w:left w:w="20" w:type="dxa"/>
              <w:bottom w:w="20" w:type="dxa"/>
            </w:tcMar>
            <w:vAlign w:val="center"/>
          </w:tcPr>
          <w:p w:rsidR="00A1205A" w:rsidRDefault="009E0DC1">
            <w:pPr>
              <w:spacing w:before="20" w:after="20"/>
              <w:jc w:val="right"/>
              <w:rPr>
                <w:sz w:val="16"/>
              </w:rPr>
            </w:pPr>
            <w:r>
              <w:rPr>
                <w:sz w:val="16"/>
              </w:rPr>
              <w:t>2 366 716 966,00</w:t>
            </w: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r>
    </w:tbl>
    <w:p w:rsidR="00A1205A" w:rsidRDefault="009E0DC1">
      <w:r>
        <w:t>Електронно управление за бенефициерите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250" w:type="pct"/>
            <w:shd w:val="clear" w:color="auto" w:fill="C0C0C0"/>
            <w:tcMar>
              <w:top w:w="20" w:type="dxa"/>
              <w:left w:w="20" w:type="dxa"/>
              <w:bottom w:w="20" w:type="dxa"/>
            </w:tcMar>
            <w:vAlign w:val="center"/>
          </w:tcPr>
          <w:p w:rsidR="00A1205A" w:rsidRDefault="009E0DC1">
            <w:pPr>
              <w:jc w:val="center"/>
              <w:rPr>
                <w:sz w:val="16"/>
              </w:rPr>
            </w:pPr>
            <w:r>
              <w:rPr>
                <w:szCs w:val="24"/>
              </w:rPr>
              <w:t>            </w:t>
            </w:r>
          </w:p>
        </w:tc>
        <w:tc>
          <w:tcPr>
            <w:tcW w:w="1250" w:type="pct"/>
            <w:shd w:val="clear" w:color="auto" w:fill="C0C0C0"/>
            <w:tcMar>
              <w:top w:w="20" w:type="dxa"/>
              <w:left w:w="20" w:type="dxa"/>
              <w:bottom w:w="20" w:type="dxa"/>
            </w:tcMar>
            <w:vAlign w:val="center"/>
          </w:tcPr>
          <w:p w:rsidR="00A1205A" w:rsidRDefault="009E0DC1">
            <w:pPr>
              <w:jc w:val="center"/>
              <w:rPr>
                <w:sz w:val="16"/>
              </w:rPr>
            </w:pPr>
            <w:r>
              <w:rPr>
                <w:sz w:val="16"/>
              </w:rPr>
              <w:t>[%] Финансиране от ЕЗФРСР</w:t>
            </w:r>
          </w:p>
        </w:tc>
        <w:tc>
          <w:tcPr>
            <w:tcW w:w="1250" w:type="pct"/>
            <w:shd w:val="clear" w:color="auto" w:fill="C0C0C0"/>
            <w:tcMar>
              <w:top w:w="20" w:type="dxa"/>
              <w:left w:w="20" w:type="dxa"/>
              <w:bottom w:w="20" w:type="dxa"/>
            </w:tcMar>
            <w:vAlign w:val="center"/>
          </w:tcPr>
          <w:p w:rsidR="00A1205A" w:rsidRDefault="009E0DC1">
            <w:pPr>
              <w:jc w:val="center"/>
              <w:rPr>
                <w:sz w:val="16"/>
              </w:rPr>
            </w:pPr>
            <w:r>
              <w:rPr>
                <w:sz w:val="16"/>
              </w:rPr>
              <w:t xml:space="preserve">[%] Съответни операции </w:t>
            </w: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t>Заявление за подпомагане</w:t>
            </w: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t>Искания за плащане</w:t>
            </w: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lastRenderedPageBreak/>
              <w:t>Контрол и съответствие</w:t>
            </w:r>
          </w:p>
        </w:tc>
        <w:tc>
          <w:tcPr>
            <w:tcW w:w="1250" w:type="pct"/>
            <w:shd w:val="clear" w:color="auto" w:fill="808080"/>
            <w:tcMar>
              <w:top w:w="20" w:type="dxa"/>
              <w:left w:w="20" w:type="dxa"/>
              <w:bottom w:w="20" w:type="dxa"/>
            </w:tcMar>
            <w:vAlign w:val="center"/>
          </w:tcPr>
          <w:p w:rsidR="00A1205A" w:rsidRDefault="00A1205A">
            <w:pPr>
              <w:spacing w:before="20" w:after="20"/>
              <w:jc w:val="left"/>
              <w:rPr>
                <w:sz w:val="16"/>
              </w:rPr>
            </w:pP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r>
      <w:tr w:rsidR="00A1205A">
        <w:tc>
          <w:tcPr>
            <w:tcW w:w="1250" w:type="pct"/>
            <w:shd w:val="clear" w:color="auto" w:fill="FFFFFF"/>
            <w:tcMar>
              <w:top w:w="20" w:type="dxa"/>
              <w:left w:w="20" w:type="dxa"/>
              <w:bottom w:w="20" w:type="dxa"/>
            </w:tcMar>
            <w:vAlign w:val="center"/>
          </w:tcPr>
          <w:p w:rsidR="00A1205A" w:rsidRDefault="009E0DC1">
            <w:pPr>
              <w:spacing w:before="20" w:after="20"/>
              <w:jc w:val="left"/>
              <w:rPr>
                <w:sz w:val="16"/>
              </w:rPr>
            </w:pPr>
            <w:r>
              <w:rPr>
                <w:sz w:val="16"/>
              </w:rPr>
              <w:t xml:space="preserve"> Мониторинг и докладване на управителния орган/разплащателната агенция</w:t>
            </w:r>
          </w:p>
        </w:tc>
        <w:tc>
          <w:tcPr>
            <w:tcW w:w="1250" w:type="pct"/>
            <w:shd w:val="clear" w:color="auto" w:fill="808080"/>
            <w:tcMar>
              <w:top w:w="20" w:type="dxa"/>
              <w:left w:w="20" w:type="dxa"/>
              <w:bottom w:w="20" w:type="dxa"/>
            </w:tcMar>
            <w:vAlign w:val="center"/>
          </w:tcPr>
          <w:p w:rsidR="00A1205A" w:rsidRDefault="00A1205A">
            <w:pPr>
              <w:spacing w:before="20" w:after="20"/>
              <w:jc w:val="left"/>
              <w:rPr>
                <w:sz w:val="16"/>
              </w:rPr>
            </w:pPr>
          </w:p>
        </w:tc>
        <w:tc>
          <w:tcPr>
            <w:tcW w:w="1250" w:type="pct"/>
            <w:shd w:val="clear" w:color="auto" w:fill="FFFFFF"/>
            <w:tcMar>
              <w:top w:w="20" w:type="dxa"/>
              <w:left w:w="20" w:type="dxa"/>
              <w:bottom w:w="20" w:type="dxa"/>
            </w:tcMar>
            <w:vAlign w:val="center"/>
          </w:tcPr>
          <w:p w:rsidR="00A1205A" w:rsidRDefault="00A1205A">
            <w:pPr>
              <w:spacing w:before="20" w:after="20"/>
              <w:jc w:val="left"/>
              <w:rPr>
                <w:sz w:val="16"/>
              </w:rPr>
            </w:pPr>
          </w:p>
        </w:tc>
      </w:tr>
    </w:tbl>
    <w:p w:rsidR="00A1205A" w:rsidRDefault="009E0DC1">
      <w:r>
        <w:t>Среден срок за бенефициерите за получаване на плащания [незадължително]</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13"/>
        <w:gridCol w:w="2114"/>
        <w:gridCol w:w="6341"/>
      </w:tblGrid>
      <w:tr w:rsidR="00A1205A">
        <w:tc>
          <w:tcPr>
            <w:tcW w:w="1000" w:type="pct"/>
            <w:shd w:val="clear" w:color="auto" w:fill="C0C0C0"/>
            <w:tcMar>
              <w:top w:w="20" w:type="dxa"/>
              <w:left w:w="20" w:type="dxa"/>
              <w:bottom w:w="20" w:type="dxa"/>
            </w:tcMar>
            <w:vAlign w:val="center"/>
          </w:tcPr>
          <w:p w:rsidR="00A1205A" w:rsidRDefault="009E0DC1">
            <w:pPr>
              <w:jc w:val="center"/>
              <w:rPr>
                <w:sz w:val="16"/>
              </w:rPr>
            </w:pPr>
            <w:r>
              <w:rPr>
                <w:sz w:val="17"/>
                <w:szCs w:val="17"/>
              </w:rPr>
              <w:t>[дни]</w:t>
            </w:r>
            <w:r>
              <w:rPr>
                <w:sz w:val="17"/>
                <w:szCs w:val="17"/>
              </w:rPr>
              <w:br/>
              <w:t>Когато е приложимо, крайният срок на държавата членка за плащания към бенефициерите</w:t>
            </w:r>
          </w:p>
        </w:tc>
        <w:tc>
          <w:tcPr>
            <w:tcW w:w="1000" w:type="pct"/>
            <w:shd w:val="clear" w:color="auto" w:fill="C0C0C0"/>
            <w:tcMar>
              <w:top w:w="20" w:type="dxa"/>
              <w:left w:w="20" w:type="dxa"/>
              <w:bottom w:w="20" w:type="dxa"/>
            </w:tcMar>
            <w:vAlign w:val="center"/>
          </w:tcPr>
          <w:p w:rsidR="00A1205A" w:rsidRDefault="009E0DC1">
            <w:pPr>
              <w:jc w:val="center"/>
              <w:rPr>
                <w:sz w:val="16"/>
              </w:rPr>
            </w:pPr>
            <w:r>
              <w:rPr>
                <w:sz w:val="17"/>
                <w:szCs w:val="17"/>
              </w:rPr>
              <w:t>[Дни]</w:t>
            </w:r>
            <w:r>
              <w:rPr>
                <w:sz w:val="17"/>
                <w:szCs w:val="17"/>
              </w:rPr>
              <w:br/>
              <w:t>Среден срок на плащанията към бенефициерите</w:t>
            </w:r>
          </w:p>
        </w:tc>
        <w:tc>
          <w:tcPr>
            <w:tcW w:w="3000" w:type="pct"/>
            <w:shd w:val="clear" w:color="auto" w:fill="C0C0C0"/>
            <w:tcMar>
              <w:top w:w="20" w:type="dxa"/>
              <w:left w:w="20" w:type="dxa"/>
              <w:bottom w:w="20" w:type="dxa"/>
            </w:tcMar>
            <w:vAlign w:val="center"/>
          </w:tcPr>
          <w:p w:rsidR="00A1205A" w:rsidRDefault="009E0DC1">
            <w:pPr>
              <w:jc w:val="center"/>
              <w:rPr>
                <w:sz w:val="16"/>
              </w:rPr>
            </w:pPr>
            <w:r>
              <w:rPr>
                <w:sz w:val="16"/>
              </w:rPr>
              <w:t>Коментари</w:t>
            </w:r>
          </w:p>
        </w:tc>
      </w:tr>
      <w:tr w:rsidR="00A1205A">
        <w:tc>
          <w:tcPr>
            <w:tcW w:w="1000" w:type="pct"/>
            <w:shd w:val="clear" w:color="auto" w:fill="FFFFFF"/>
            <w:tcMar>
              <w:top w:w="20" w:type="dxa"/>
              <w:left w:w="20" w:type="dxa"/>
              <w:bottom w:w="20" w:type="dxa"/>
            </w:tcMar>
            <w:vAlign w:val="center"/>
          </w:tcPr>
          <w:p w:rsidR="00A1205A" w:rsidRDefault="00A1205A">
            <w:pPr>
              <w:spacing w:before="20" w:after="20"/>
              <w:jc w:val="left"/>
              <w:rPr>
                <w:sz w:val="16"/>
              </w:rPr>
            </w:pPr>
          </w:p>
        </w:tc>
        <w:tc>
          <w:tcPr>
            <w:tcW w:w="1000" w:type="pct"/>
            <w:shd w:val="clear" w:color="auto" w:fill="FFFFFF"/>
            <w:tcMar>
              <w:top w:w="20" w:type="dxa"/>
              <w:left w:w="20" w:type="dxa"/>
              <w:bottom w:w="20" w:type="dxa"/>
            </w:tcMar>
            <w:vAlign w:val="center"/>
          </w:tcPr>
          <w:p w:rsidR="00A1205A" w:rsidRDefault="00A1205A">
            <w:pPr>
              <w:spacing w:before="20" w:after="20"/>
              <w:jc w:val="left"/>
              <w:rPr>
                <w:sz w:val="16"/>
              </w:rPr>
            </w:pPr>
          </w:p>
        </w:tc>
        <w:tc>
          <w:tcPr>
            <w:tcW w:w="3000" w:type="pct"/>
            <w:shd w:val="clear" w:color="auto" w:fill="FFFFFF"/>
            <w:tcMar>
              <w:top w:w="20" w:type="dxa"/>
              <w:left w:w="20" w:type="dxa"/>
              <w:bottom w:w="20" w:type="dxa"/>
            </w:tcMar>
            <w:vAlign w:val="center"/>
          </w:tcPr>
          <w:p w:rsidR="00A1205A" w:rsidRDefault="00A1205A">
            <w:pPr>
              <w:spacing w:before="20" w:after="20"/>
              <w:jc w:val="left"/>
              <w:rPr>
                <w:sz w:val="16"/>
              </w:rPr>
            </w:pPr>
          </w:p>
        </w:tc>
      </w:tr>
    </w:tbl>
    <w:p w:rsidR="00A1205A" w:rsidRDefault="00A1205A">
      <w:pPr>
        <w:jc w:val="center"/>
        <w:rPr>
          <w:sz w:val="16"/>
        </w:rPr>
        <w:sectPr w:rsidR="00A1205A">
          <w:pgSz w:w="12240" w:h="15840"/>
          <w:pgMar w:top="900" w:right="900" w:bottom="900" w:left="900" w:header="720" w:footer="720" w:gutter="0"/>
          <w:cols w:space="720"/>
        </w:sectPr>
      </w:pPr>
    </w:p>
    <w:p w:rsidR="00A1205A" w:rsidRDefault="009E0DC1">
      <w:pPr>
        <w:pStyle w:val="Heading1"/>
      </w:pPr>
      <w:bookmarkStart w:id="19" w:name="_Toc256000018"/>
      <w:r>
        <w:lastRenderedPageBreak/>
        <w:t>Стъпки, предприети за прилагане на техническата помощ и изискванията за публичност на програмите</w:t>
      </w:r>
      <w:bookmarkEnd w:id="19"/>
    </w:p>
    <w:p w:rsidR="00A1205A" w:rsidRDefault="009E0DC1">
      <w:pPr>
        <w:pStyle w:val="Heading2"/>
      </w:pPr>
      <w:bookmarkStart w:id="20" w:name="_Toc256000019"/>
      <w:r>
        <w:t>Предприети действия и актуално състояние по отношение на създаването на НМСР и изпълнението на нейния план за действие</w:t>
      </w:r>
      <w:bookmarkEnd w:id="20"/>
    </w:p>
    <w:p w:rsidR="00A1205A" w:rsidRDefault="009E0DC1">
      <w:pPr>
        <w:pStyle w:val="Heading3"/>
        <w:jc w:val="left"/>
      </w:pPr>
      <w:bookmarkStart w:id="21" w:name="_Toc256000020"/>
      <w:r>
        <w:t>Предприети действия и актуално състояние по отношение на създаването на НМСР (структура на управление и звено за подкрепа на мрежата)</w:t>
      </w:r>
      <w:bookmarkEnd w:id="2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300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В текста на ПРСР 2014-2020 г. е предвидено да бъде проведена процедура за избор на изпълнител, който да осъществява функциите на Звено за управление на НСМ. Предвидено е тази процедура да бъде проведена в съответствие със Закона за обществените поръчки в случай, че съответните дейности попадат в обхвата на закона.</w:t>
            </w:r>
          </w:p>
          <w:p w:rsidR="00A1205A" w:rsidRDefault="009E0DC1">
            <w:pPr>
              <w:spacing w:before="240" w:after="240"/>
              <w:jc w:val="left"/>
              <w:rPr>
                <w:szCs w:val="24"/>
              </w:rPr>
            </w:pPr>
            <w:r>
              <w:rPr>
                <w:szCs w:val="24"/>
              </w:rPr>
              <w:t>През 2016 г. е стартиран процеса по подготовката на избора на изпълнител за тази дейност, като е взето решение тя да бъде възложена на Националната служба за съвети в земеделието (НССЗ), която е второстепенен разпоредител с бюджетни кредити към министъра на земеделието, храните и горите. Това решение е продиктувано от функциите на НССЗ и нейният капацитет изграден в годините.</w:t>
            </w:r>
          </w:p>
          <w:p w:rsidR="00A1205A" w:rsidRDefault="009E0DC1">
            <w:pPr>
              <w:spacing w:before="240" w:after="240"/>
              <w:jc w:val="left"/>
              <w:rPr>
                <w:szCs w:val="24"/>
              </w:rPr>
            </w:pPr>
            <w:r>
              <w:rPr>
                <w:szCs w:val="24"/>
              </w:rPr>
              <w:t>С цел спазване на ЗОП е изпратено запитване до Агенцията по обществени поръчки за становище дали може да бъде сключен договор с НССЗ по реда на чл. 14, ал. 1, т. 5 от ЗОП.</w:t>
            </w:r>
          </w:p>
          <w:p w:rsidR="00A1205A" w:rsidRDefault="009E0DC1">
            <w:pPr>
              <w:spacing w:before="240" w:after="240"/>
              <w:jc w:val="left"/>
              <w:rPr>
                <w:szCs w:val="24"/>
              </w:rPr>
            </w:pPr>
            <w:r>
              <w:rPr>
                <w:szCs w:val="24"/>
              </w:rPr>
              <w:t>В рамките на 2016 г. не е постъпило становище от АОП и няма избран изпълнител, както и не са извършвани дейности по НСМ.</w:t>
            </w:r>
          </w:p>
          <w:p w:rsidR="00A1205A" w:rsidRDefault="00A1205A">
            <w:pPr>
              <w:pStyle w:val="BodyText"/>
            </w:pPr>
          </w:p>
        </w:tc>
      </w:tr>
    </w:tbl>
    <w:p w:rsidR="00A1205A" w:rsidRDefault="009E0DC1">
      <w:pPr>
        <w:pStyle w:val="Heading3"/>
        <w:jc w:val="left"/>
      </w:pPr>
      <w:bookmarkStart w:id="22" w:name="_Toc256000021"/>
      <w:r>
        <w:t>Предприетите действия и актуалното състояние по отношение на изпълнението на плана за действие</w:t>
      </w:r>
      <w:bookmarkEnd w:id="2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300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През 2016 г. не е избран изпълнител за Звено за управление на НСМ и не са извършвани дейности по НСМ.</w:t>
            </w:r>
          </w:p>
          <w:p w:rsidR="00A1205A" w:rsidRDefault="00A1205A">
            <w:pPr>
              <w:pStyle w:val="BodyText"/>
            </w:pPr>
          </w:p>
        </w:tc>
      </w:tr>
    </w:tbl>
    <w:p w:rsidR="00A1205A" w:rsidRDefault="009E0DC1">
      <w:pPr>
        <w:pStyle w:val="Heading2"/>
      </w:pPr>
      <w:bookmarkStart w:id="23" w:name="_Toc256000022"/>
      <w:r>
        <w:t>Стъпки, предприети за осигуряване на публичност на програмата (член 13 от Регламент за изпълнение (ЕС) № 808/2014 на Комисията)</w:t>
      </w:r>
      <w:bookmarkEnd w:id="2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300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През 2016 г. са извършени следните дейности в изпълнение на Комуникационния план на ПРСР 2014-2020г.:</w:t>
            </w:r>
          </w:p>
          <w:p w:rsidR="00A1205A" w:rsidRDefault="009E0DC1">
            <w:pPr>
              <w:spacing w:before="240" w:after="240"/>
              <w:jc w:val="left"/>
              <w:rPr>
                <w:szCs w:val="24"/>
              </w:rPr>
            </w:pPr>
            <w:r>
              <w:rPr>
                <w:szCs w:val="24"/>
              </w:rPr>
              <w:t>През 2016 г. са сключени договори на обща стойност 315 396 лв. с медии в страната, от които 4 договора с телевизии /Фолклор ТВ, ТВ Европа, Канал 3, Евроком/ и 4 договора /БГ радио, Радио Фокус, Радио К2, Дарик радио/ с радиа.</w:t>
            </w:r>
          </w:p>
          <w:p w:rsidR="00A1205A" w:rsidRDefault="009E0DC1">
            <w:pPr>
              <w:spacing w:before="240" w:after="240"/>
              <w:jc w:val="left"/>
              <w:rPr>
                <w:szCs w:val="24"/>
              </w:rPr>
            </w:pPr>
            <w:r>
              <w:rPr>
                <w:szCs w:val="24"/>
              </w:rPr>
              <w:t>Сключените договори включват консутантски рубрики свързани с полезна информация по прилагането на следните мерки/подмерки и теми:</w:t>
            </w:r>
          </w:p>
          <w:p w:rsidR="00A1205A" w:rsidRDefault="009E0DC1" w:rsidP="009E0DC1">
            <w:pPr>
              <w:numPr>
                <w:ilvl w:val="0"/>
                <w:numId w:val="39"/>
              </w:numPr>
              <w:spacing w:before="240" w:after="0"/>
              <w:ind w:hanging="210"/>
              <w:jc w:val="left"/>
              <w:rPr>
                <w:szCs w:val="24"/>
              </w:rPr>
            </w:pPr>
            <w:r>
              <w:rPr>
                <w:szCs w:val="24"/>
              </w:rPr>
              <w:t>Втори прием по подмярка 4.1 от Програмата за развитие на селските райони;</w:t>
            </w:r>
          </w:p>
          <w:p w:rsidR="00A1205A" w:rsidRDefault="009E0DC1" w:rsidP="009E0DC1">
            <w:pPr>
              <w:numPr>
                <w:ilvl w:val="0"/>
                <w:numId w:val="39"/>
              </w:numPr>
              <w:spacing w:before="0" w:after="0"/>
              <w:ind w:hanging="210"/>
              <w:jc w:val="left"/>
              <w:rPr>
                <w:szCs w:val="24"/>
              </w:rPr>
            </w:pPr>
            <w:r>
              <w:rPr>
                <w:szCs w:val="24"/>
              </w:rPr>
              <w:lastRenderedPageBreak/>
              <w:t>Консултантски пакети за малки стопанства по подмярка 2.1.2 "Консултантски услуги за малки земеделски стопанства“</w:t>
            </w:r>
          </w:p>
          <w:p w:rsidR="00A1205A" w:rsidRDefault="009E0DC1" w:rsidP="009E0DC1">
            <w:pPr>
              <w:numPr>
                <w:ilvl w:val="0"/>
                <w:numId w:val="39"/>
              </w:numPr>
              <w:spacing w:before="0" w:after="0"/>
              <w:ind w:hanging="210"/>
              <w:jc w:val="left"/>
              <w:rPr>
                <w:szCs w:val="24"/>
              </w:rPr>
            </w:pPr>
            <w:r>
              <w:rPr>
                <w:szCs w:val="24"/>
              </w:rPr>
              <w:t>Новостите в критериите за подбор по подмярка 4.2 „Инвестиции в преработка/маркетинг на селскостопански продукти“</w:t>
            </w:r>
          </w:p>
          <w:p w:rsidR="00A1205A" w:rsidRDefault="009E0DC1" w:rsidP="009E0DC1">
            <w:pPr>
              <w:numPr>
                <w:ilvl w:val="0"/>
                <w:numId w:val="39"/>
              </w:numPr>
              <w:spacing w:before="0" w:after="0"/>
              <w:ind w:hanging="210"/>
              <w:jc w:val="left"/>
              <w:rPr>
                <w:szCs w:val="24"/>
              </w:rPr>
            </w:pPr>
            <w:r>
              <w:rPr>
                <w:szCs w:val="24"/>
              </w:rPr>
              <w:t>Напредък и резултати от първи прием по подмярка 19.2 „Прилагане на операции в рамките на стратегии за Водено от общностите местно развитие (ВОМР)”;</w:t>
            </w:r>
          </w:p>
          <w:p w:rsidR="00A1205A" w:rsidRDefault="009E0DC1" w:rsidP="009E0DC1">
            <w:pPr>
              <w:numPr>
                <w:ilvl w:val="0"/>
                <w:numId w:val="39"/>
              </w:numPr>
              <w:spacing w:before="0" w:after="240"/>
              <w:ind w:hanging="210"/>
              <w:jc w:val="left"/>
              <w:rPr>
                <w:szCs w:val="24"/>
              </w:rPr>
            </w:pPr>
            <w:r>
              <w:rPr>
                <w:szCs w:val="24"/>
              </w:rPr>
              <w:t>Информация за втората покана по подмярка 19.2 „Прилагане на операции в рамките на стратегии за Водено от общностите местно развитие (ВОМР)”</w:t>
            </w:r>
          </w:p>
          <w:p w:rsidR="00A1205A" w:rsidRDefault="009E0DC1">
            <w:pPr>
              <w:spacing w:before="240" w:after="240"/>
              <w:jc w:val="left"/>
              <w:rPr>
                <w:szCs w:val="24"/>
              </w:rPr>
            </w:pPr>
            <w:r>
              <w:rPr>
                <w:szCs w:val="24"/>
              </w:rPr>
              <w:t>Информационната кампания през 2016 г. включва и участието на представители на УО в редица семинари, форуми и др. публични събития на различни организации.</w:t>
            </w:r>
          </w:p>
          <w:p w:rsidR="00A1205A" w:rsidRDefault="009E0DC1">
            <w:pPr>
              <w:spacing w:before="240" w:after="240"/>
              <w:ind w:left="709"/>
              <w:jc w:val="left"/>
              <w:rPr>
                <w:szCs w:val="24"/>
              </w:rPr>
            </w:pPr>
            <w:r>
              <w:rPr>
                <w:szCs w:val="24"/>
              </w:rPr>
              <w:t>1., г, организиран от;</w:t>
            </w:r>
          </w:p>
          <w:p w:rsidR="00A1205A" w:rsidRDefault="009E0DC1">
            <w:pPr>
              <w:spacing w:before="240" w:after="240"/>
              <w:ind w:left="709"/>
              <w:jc w:val="left"/>
              <w:rPr>
                <w:szCs w:val="24"/>
              </w:rPr>
            </w:pPr>
            <w:r>
              <w:rPr>
                <w:szCs w:val="24"/>
              </w:rPr>
              <w:t>2. , мярка 7, г, организиран от Нацинално сдружение на общините в България;</w:t>
            </w:r>
          </w:p>
          <w:p w:rsidR="00A1205A" w:rsidRDefault="009E0DC1">
            <w:pPr>
              <w:spacing w:before="240" w:after="240"/>
              <w:ind w:left="709"/>
              <w:jc w:val="left"/>
              <w:rPr>
                <w:szCs w:val="24"/>
              </w:rPr>
            </w:pPr>
            <w:r>
              <w:rPr>
                <w:szCs w:val="24"/>
              </w:rPr>
              <w:t>3., г, и , организиран от ;</w:t>
            </w:r>
          </w:p>
          <w:p w:rsidR="00A1205A" w:rsidRDefault="009E0DC1">
            <w:pPr>
              <w:spacing w:before="240" w:after="240"/>
              <w:ind w:left="709"/>
              <w:jc w:val="left"/>
              <w:rPr>
                <w:szCs w:val="24"/>
              </w:rPr>
            </w:pPr>
            <w:r>
              <w:rPr>
                <w:szCs w:val="24"/>
              </w:rPr>
              <w:t>4., гПловдив23.02., организиран от Агра 2016;</w:t>
            </w:r>
          </w:p>
          <w:p w:rsidR="00A1205A" w:rsidRDefault="009E0DC1">
            <w:pPr>
              <w:spacing w:before="240" w:after="240"/>
              <w:ind w:left="709"/>
              <w:jc w:val="left"/>
              <w:rPr>
                <w:szCs w:val="24"/>
              </w:rPr>
            </w:pPr>
            <w:r>
              <w:rPr>
                <w:szCs w:val="24"/>
              </w:rPr>
              <w:t>5.гПловдив23.02., организиран от Селскостопанска академия;</w:t>
            </w:r>
          </w:p>
          <w:p w:rsidR="00A1205A" w:rsidRDefault="009E0DC1">
            <w:pPr>
              <w:spacing w:before="240" w:after="240"/>
              <w:ind w:left="709"/>
              <w:jc w:val="left"/>
              <w:rPr>
                <w:szCs w:val="24"/>
              </w:rPr>
            </w:pPr>
            <w:r>
              <w:rPr>
                <w:szCs w:val="24"/>
              </w:rPr>
              <w:t>6., г, организиран от Бата Агро;</w:t>
            </w:r>
          </w:p>
          <w:p w:rsidR="00A1205A" w:rsidRDefault="009E0DC1">
            <w:pPr>
              <w:spacing w:before="240" w:after="240"/>
              <w:ind w:left="709"/>
              <w:jc w:val="left"/>
              <w:rPr>
                <w:szCs w:val="24"/>
              </w:rPr>
            </w:pPr>
            <w:r>
              <w:rPr>
                <w:szCs w:val="24"/>
              </w:rPr>
              <w:t>7., гр.,  , организиран от о;</w:t>
            </w:r>
          </w:p>
          <w:p w:rsidR="00A1205A" w:rsidRDefault="009E0DC1">
            <w:pPr>
              <w:spacing w:before="240" w:after="240"/>
              <w:ind w:left="709"/>
              <w:jc w:val="left"/>
              <w:rPr>
                <w:szCs w:val="24"/>
              </w:rPr>
            </w:pPr>
            <w:r>
              <w:rPr>
                <w:szCs w:val="24"/>
              </w:rPr>
              <w:t>8., март 2016 г., гр. Стара Загора, организиран от Българска асоциация на консултантите по европейски програми;</w:t>
            </w:r>
          </w:p>
          <w:p w:rsidR="00A1205A" w:rsidRDefault="009E0DC1">
            <w:pPr>
              <w:spacing w:before="240" w:after="240"/>
              <w:ind w:left="709"/>
              <w:jc w:val="left"/>
              <w:rPr>
                <w:szCs w:val="24"/>
              </w:rPr>
            </w:pPr>
            <w:r>
              <w:rPr>
                <w:szCs w:val="24"/>
              </w:rPr>
              <w:t>9.Р, г, мярка 19, организиран от ;</w:t>
            </w:r>
          </w:p>
          <w:p w:rsidR="00A1205A" w:rsidRDefault="009E0DC1">
            <w:pPr>
              <w:spacing w:before="240" w:after="240"/>
              <w:ind w:left="709"/>
              <w:jc w:val="left"/>
              <w:rPr>
                <w:szCs w:val="24"/>
              </w:rPr>
            </w:pPr>
            <w:r>
              <w:rPr>
                <w:szCs w:val="24"/>
              </w:rPr>
              <w:t>10.Представяна на напредрка по мерки 10,11,12,13 от ПРСР 2014-2020 г., гр. София, март 2016 г., организиран от НССЗ;</w:t>
            </w:r>
          </w:p>
          <w:p w:rsidR="00A1205A" w:rsidRDefault="009E0DC1" w:rsidP="009E0DC1">
            <w:pPr>
              <w:numPr>
                <w:ilvl w:val="0"/>
                <w:numId w:val="40"/>
              </w:numPr>
              <w:spacing w:before="240" w:after="0"/>
              <w:ind w:hanging="280"/>
              <w:jc w:val="left"/>
              <w:rPr>
                <w:szCs w:val="24"/>
              </w:rPr>
            </w:pPr>
            <w:r>
              <w:rPr>
                <w:szCs w:val="24"/>
              </w:rPr>
              <w:t>Дискусионна среща относно прилагането на мерки 10,11,12,13 от ПРСР 2014-2020 г., мерки 10,11,12,13 от ПРСР 2014-2020 г., организирана от Асоциация Биопродукти;</w:t>
            </w:r>
          </w:p>
          <w:p w:rsidR="00A1205A" w:rsidRDefault="009E0DC1" w:rsidP="009E0DC1">
            <w:pPr>
              <w:numPr>
                <w:ilvl w:val="0"/>
                <w:numId w:val="40"/>
              </w:numPr>
              <w:spacing w:before="0" w:after="0"/>
              <w:ind w:hanging="280"/>
              <w:jc w:val="left"/>
              <w:rPr>
                <w:szCs w:val="24"/>
              </w:rPr>
            </w:pPr>
            <w:r>
              <w:rPr>
                <w:szCs w:val="24"/>
              </w:rPr>
              <w:t>Кръгла масa:  „Място на аграрната наука в ПРСР  - Оперативни групи”, гр. София, 18.05.2016 г., организирана от Институт по аграрна икономика, Селскостопанска академия;</w:t>
            </w:r>
          </w:p>
          <w:p w:rsidR="00A1205A" w:rsidRDefault="009E0DC1" w:rsidP="009E0DC1">
            <w:pPr>
              <w:numPr>
                <w:ilvl w:val="0"/>
                <w:numId w:val="40"/>
              </w:numPr>
              <w:spacing w:before="0" w:after="0"/>
              <w:ind w:hanging="280"/>
              <w:jc w:val="left"/>
              <w:rPr>
                <w:szCs w:val="24"/>
              </w:rPr>
            </w:pPr>
            <w:r>
              <w:rPr>
                <w:szCs w:val="24"/>
              </w:rPr>
              <w:t>Инициатива на МЗХ „Подкрепяме българското“, събитията са проведени във всички 28 областни центрове в периода от 03.09 до 08.10.2016 г., организирана от МЗХ;</w:t>
            </w:r>
          </w:p>
          <w:p w:rsidR="00A1205A" w:rsidRDefault="009E0DC1" w:rsidP="009E0DC1">
            <w:pPr>
              <w:numPr>
                <w:ilvl w:val="0"/>
                <w:numId w:val="40"/>
              </w:numPr>
              <w:spacing w:before="0" w:after="0"/>
              <w:ind w:hanging="280"/>
              <w:jc w:val="left"/>
              <w:rPr>
                <w:szCs w:val="24"/>
              </w:rPr>
            </w:pPr>
            <w:r>
              <w:rPr>
                <w:szCs w:val="24"/>
              </w:rPr>
              <w:t>Информационна среща за прилагането на подмярка 19.1 „Помощ за подготвителни дейности” на мярка 19 „Водено от общностите местно развитие” от ПРСР 2014-2020 г., Гр. Правец, 12-14 септември 2016 г., организатор МЗХ;</w:t>
            </w:r>
          </w:p>
          <w:p w:rsidR="00A1205A" w:rsidRDefault="009E0DC1" w:rsidP="009E0DC1">
            <w:pPr>
              <w:numPr>
                <w:ilvl w:val="0"/>
                <w:numId w:val="40"/>
              </w:numPr>
              <w:spacing w:before="0" w:after="240"/>
              <w:ind w:hanging="280"/>
              <w:jc w:val="left"/>
              <w:rPr>
                <w:szCs w:val="24"/>
              </w:rPr>
            </w:pPr>
            <w:r>
              <w:rPr>
                <w:szCs w:val="24"/>
              </w:rPr>
              <w:t>Двудневен семинар по изпълнение на мярка 19 „Водено от общностите местно развитие“ от ПРСР 2014-2020 г., гр. Разлог, 28 - 29 декември 2016 г., организатор МЗХ;</w:t>
            </w:r>
          </w:p>
          <w:p w:rsidR="00A1205A" w:rsidRDefault="009E0DC1">
            <w:pPr>
              <w:spacing w:before="240" w:after="240"/>
              <w:jc w:val="left"/>
              <w:rPr>
                <w:szCs w:val="24"/>
              </w:rPr>
            </w:pPr>
            <w:r>
              <w:rPr>
                <w:szCs w:val="24"/>
              </w:rPr>
              <w:t>Организирането на информационните срещи и семинари от МЗХ и участието на представители на УО в различни събития, организирани от браншови организации и НПО сектора през 2016 г. е осигурило в достатъчна степен инфромираност и прозрачност при прилагане на ПРСР 2014-2020.</w:t>
            </w:r>
          </w:p>
          <w:p w:rsidR="00A1205A" w:rsidRDefault="00A1205A">
            <w:pPr>
              <w:pStyle w:val="BodyText"/>
            </w:pPr>
          </w:p>
        </w:tc>
      </w:tr>
    </w:tbl>
    <w:p w:rsidR="00A1205A" w:rsidRDefault="00A1205A">
      <w:pPr>
        <w:sectPr w:rsidR="00A1205A">
          <w:pgSz w:w="12240" w:h="15840"/>
          <w:pgMar w:top="900" w:right="900" w:bottom="900" w:left="900" w:header="720" w:footer="720" w:gutter="0"/>
          <w:cols w:space="720"/>
        </w:sectPr>
      </w:pPr>
    </w:p>
    <w:p w:rsidR="00A1205A" w:rsidRDefault="009E0DC1">
      <w:pPr>
        <w:pStyle w:val="Heading1"/>
      </w:pPr>
      <w:bookmarkStart w:id="24" w:name="_Toc256000023"/>
      <w:r>
        <w:lastRenderedPageBreak/>
        <w:t>Действия, предприети за изпълнение на предварителните условия</w:t>
      </w:r>
      <w:bookmarkEnd w:id="24"/>
    </w:p>
    <w:p w:rsidR="00A1205A" w:rsidRDefault="009E0DC1">
      <w:pPr>
        <w:pStyle w:val="Heading2"/>
      </w:pPr>
      <w:bookmarkStart w:id="25" w:name="_Toc256000024"/>
      <w:r>
        <w:t>Неизпълнени критерии за общите предварителните условия</w:t>
      </w:r>
      <w:bookmarkEnd w:id="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80"/>
        <w:gridCol w:w="5254"/>
      </w:tblGrid>
      <w:tr w:rsidR="00A1205A">
        <w:tc>
          <w:tcPr>
            <w:tcW w:w="3000" w:type="pct"/>
            <w:shd w:val="clear" w:color="auto" w:fill="C0C0C0"/>
            <w:tcMar>
              <w:top w:w="20" w:type="dxa"/>
              <w:left w:w="20" w:type="dxa"/>
              <w:bottom w:w="20" w:type="dxa"/>
            </w:tcMar>
            <w:vAlign w:val="center"/>
          </w:tcPr>
          <w:p w:rsidR="00A1205A" w:rsidRDefault="009E0DC1">
            <w:pPr>
              <w:rPr>
                <w:b/>
                <w:sz w:val="16"/>
              </w:rPr>
            </w:pPr>
            <w:r>
              <w:rPr>
                <w:b/>
                <w:sz w:val="16"/>
              </w:rPr>
              <w:t>Общо предварително условие</w:t>
            </w:r>
          </w:p>
        </w:tc>
        <w:tc>
          <w:tcPr>
            <w:tcW w:w="3000" w:type="pct"/>
            <w:shd w:val="clear" w:color="auto" w:fill="C0C0C0"/>
            <w:tcMar>
              <w:top w:w="20" w:type="dxa"/>
              <w:left w:w="20" w:type="dxa"/>
              <w:bottom w:w="20" w:type="dxa"/>
            </w:tcMar>
            <w:vAlign w:val="center"/>
          </w:tcPr>
          <w:p w:rsidR="00A1205A" w:rsidRDefault="009E0DC1">
            <w:pPr>
              <w:rPr>
                <w:sz w:val="16"/>
              </w:rPr>
            </w:pPr>
            <w:r>
              <w:rPr>
                <w:b/>
                <w:sz w:val="16"/>
              </w:rPr>
              <w:t>Критерий</w:t>
            </w:r>
          </w:p>
        </w:tc>
      </w:tr>
      <w:tr w:rsidR="00A1205A">
        <w:tc>
          <w:tcPr>
            <w:tcW w:w="3000" w:type="pct"/>
            <w:shd w:val="clear" w:color="auto" w:fill="FFFFFF"/>
            <w:tcMar>
              <w:top w:w="20" w:type="dxa"/>
              <w:left w:w="20" w:type="dxa"/>
              <w:bottom w:w="20" w:type="dxa"/>
            </w:tcMar>
            <w:vAlign w:val="center"/>
          </w:tcPr>
          <w:p w:rsidR="00A1205A" w:rsidRDefault="009E0DC1">
            <w:pPr>
              <w:rPr>
                <w:sz w:val="16"/>
              </w:rPr>
            </w:pPr>
            <w:r>
              <w:rPr>
                <w:sz w:val="16"/>
              </w:rPr>
              <w:t>G4 -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3000" w:type="pct"/>
            <w:shd w:val="clear" w:color="auto" w:fill="FFFFFF"/>
            <w:tcMar>
              <w:top w:w="20" w:type="dxa"/>
              <w:left w:w="20" w:type="dxa"/>
              <w:bottom w:w="20" w:type="dxa"/>
            </w:tcMar>
            <w:vAlign w:val="center"/>
          </w:tcPr>
          <w:p w:rsidR="00A1205A" w:rsidRDefault="009E0DC1">
            <w:pPr>
              <w:rPr>
                <w:sz w:val="16"/>
              </w:rPr>
            </w:pPr>
            <w:r>
              <w:rPr>
                <w:sz w:val="16"/>
              </w:rPr>
              <w:t>G4.a - Уредба за ефективното прилагане на правилата на Съюза за обществените поръчки посредством подходящи механизми.</w:t>
            </w:r>
          </w:p>
        </w:tc>
      </w:tr>
      <w:tr w:rsidR="00A1205A">
        <w:tc>
          <w:tcPr>
            <w:tcW w:w="3000" w:type="pct"/>
            <w:shd w:val="clear" w:color="auto" w:fill="FFFFFF"/>
            <w:tcMar>
              <w:top w:w="20" w:type="dxa"/>
              <w:left w:w="20" w:type="dxa"/>
              <w:bottom w:w="20" w:type="dxa"/>
            </w:tcMar>
            <w:vAlign w:val="center"/>
          </w:tcPr>
          <w:p w:rsidR="00A1205A" w:rsidRDefault="009E0DC1">
            <w:pPr>
              <w:rPr>
                <w:sz w:val="16"/>
              </w:rPr>
            </w:pPr>
            <w:r>
              <w:rPr>
                <w:sz w:val="16"/>
              </w:rPr>
              <w:t>G4 -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3000" w:type="pct"/>
            <w:shd w:val="clear" w:color="auto" w:fill="FFFFFF"/>
            <w:tcMar>
              <w:top w:w="20" w:type="dxa"/>
              <w:left w:w="20" w:type="dxa"/>
              <w:bottom w:w="20" w:type="dxa"/>
            </w:tcMar>
            <w:vAlign w:val="center"/>
          </w:tcPr>
          <w:p w:rsidR="00A1205A" w:rsidRDefault="009E0DC1">
            <w:pPr>
              <w:rPr>
                <w:sz w:val="16"/>
              </w:rPr>
            </w:pPr>
            <w:r>
              <w:rPr>
                <w:sz w:val="16"/>
              </w:rPr>
              <w:t>G4.c - Уредба за обучение на персонала, който участва в привеждането на европейските структурни и инвестиционни фондове в действие, и за разпространение на информация до този персонал.</w:t>
            </w:r>
          </w:p>
        </w:tc>
      </w:tr>
      <w:tr w:rsidR="00A1205A">
        <w:tc>
          <w:tcPr>
            <w:tcW w:w="3000" w:type="pct"/>
            <w:shd w:val="clear" w:color="auto" w:fill="FFFFFF"/>
            <w:tcMar>
              <w:top w:w="20" w:type="dxa"/>
              <w:left w:w="20" w:type="dxa"/>
              <w:bottom w:w="20" w:type="dxa"/>
            </w:tcMar>
            <w:vAlign w:val="center"/>
          </w:tcPr>
          <w:p w:rsidR="00A1205A" w:rsidRDefault="009E0DC1">
            <w:pPr>
              <w:rPr>
                <w:sz w:val="16"/>
              </w:rPr>
            </w:pPr>
            <w:r>
              <w:rPr>
                <w:sz w:val="16"/>
              </w:rPr>
              <w:t>G4 - Обществени поръчки: наличие на уредба за ефективното прилагане на законодателството на Съюза за обществените поръчки в областта на европейските структурни и инвестиционни фондове.</w:t>
            </w:r>
          </w:p>
        </w:tc>
        <w:tc>
          <w:tcPr>
            <w:tcW w:w="3000" w:type="pct"/>
            <w:shd w:val="clear" w:color="auto" w:fill="FFFFFF"/>
            <w:tcMar>
              <w:top w:w="20" w:type="dxa"/>
              <w:left w:w="20" w:type="dxa"/>
              <w:bottom w:w="20" w:type="dxa"/>
            </w:tcMar>
            <w:vAlign w:val="center"/>
          </w:tcPr>
          <w:p w:rsidR="00A1205A" w:rsidRDefault="009E0DC1">
            <w:pPr>
              <w:rPr>
                <w:sz w:val="16"/>
              </w:rPr>
            </w:pPr>
            <w:r>
              <w:rPr>
                <w:sz w:val="16"/>
              </w:rPr>
              <w:t>G4.d - Уредба, гарантираща административния капацитет за въвеждане и прилагане на правилата на Съюза за обществените поръчки.</w:t>
            </w:r>
          </w:p>
        </w:tc>
      </w:tr>
      <w:tr w:rsidR="00A1205A">
        <w:tc>
          <w:tcPr>
            <w:tcW w:w="3000" w:type="pct"/>
            <w:shd w:val="clear" w:color="auto" w:fill="FFFFFF"/>
            <w:tcMar>
              <w:top w:w="20" w:type="dxa"/>
              <w:left w:w="20" w:type="dxa"/>
              <w:bottom w:w="20" w:type="dxa"/>
            </w:tcMar>
            <w:vAlign w:val="center"/>
          </w:tcPr>
          <w:p w:rsidR="00A1205A" w:rsidRDefault="009E0DC1">
            <w:pPr>
              <w:rPr>
                <w:sz w:val="16"/>
              </w:rPr>
            </w:pPr>
            <w:r>
              <w:rPr>
                <w:sz w:val="16"/>
              </w:rPr>
              <w:t>G7 -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3000" w:type="pct"/>
            <w:shd w:val="clear" w:color="auto" w:fill="FFFFFF"/>
            <w:tcMar>
              <w:top w:w="20" w:type="dxa"/>
              <w:left w:w="20" w:type="dxa"/>
              <w:bottom w:w="20" w:type="dxa"/>
            </w:tcMar>
            <w:vAlign w:val="center"/>
          </w:tcPr>
          <w:p w:rsidR="00A1205A" w:rsidRDefault="009E0DC1">
            <w:pPr>
              <w:rPr>
                <w:sz w:val="16"/>
              </w:rPr>
            </w:pPr>
            <w:r>
              <w:rPr>
                <w:sz w:val="16"/>
              </w:rPr>
              <w:t>G7.c - Ефективна система от показатели за резултатите, включително: подбор на показатели за резултатите за всяка програма, които предоставят информация за обосновката на подбора на свързани с политиката действия, финансирани от програмата</w:t>
            </w:r>
          </w:p>
        </w:tc>
      </w:tr>
      <w:tr w:rsidR="00A1205A">
        <w:tc>
          <w:tcPr>
            <w:tcW w:w="3000" w:type="pct"/>
            <w:shd w:val="clear" w:color="auto" w:fill="FFFFFF"/>
            <w:tcMar>
              <w:top w:w="20" w:type="dxa"/>
              <w:left w:w="20" w:type="dxa"/>
              <w:bottom w:w="20" w:type="dxa"/>
            </w:tcMar>
            <w:vAlign w:val="center"/>
          </w:tcPr>
          <w:p w:rsidR="00A1205A" w:rsidRDefault="009E0DC1">
            <w:pPr>
              <w:rPr>
                <w:sz w:val="16"/>
              </w:rPr>
            </w:pPr>
            <w:r>
              <w:rPr>
                <w:sz w:val="16"/>
              </w:rPr>
              <w:t>G7 - Статистически системи и показатели за резултатите: наличие на статистическа база, необходима за оценяване на ефективността и въздействието на програмите. Наличие на система от показатели за резултатите, необходими за подбора на действия, които най-ефективно допринасят за постигане на желаните резултати, за наблюдение на напредъка към постигане на резултатите и за извършване на оценка на въздействието.</w:t>
            </w:r>
          </w:p>
        </w:tc>
        <w:tc>
          <w:tcPr>
            <w:tcW w:w="3000" w:type="pct"/>
            <w:shd w:val="clear" w:color="auto" w:fill="FFFFFF"/>
            <w:tcMar>
              <w:top w:w="20" w:type="dxa"/>
              <w:left w:w="20" w:type="dxa"/>
              <w:bottom w:w="20" w:type="dxa"/>
            </w:tcMar>
            <w:vAlign w:val="center"/>
          </w:tcPr>
          <w:p w:rsidR="00A1205A" w:rsidRDefault="009E0DC1">
            <w:pPr>
              <w:rPr>
                <w:sz w:val="16"/>
              </w:rPr>
            </w:pPr>
            <w:r>
              <w:rPr>
                <w:sz w:val="16"/>
              </w:rPr>
              <w:t>G7.f - Въведени са процедури, които гарантират, че всички операции, финансирани от програмата, възприемат ефективна система от показатели</w:t>
            </w:r>
          </w:p>
        </w:tc>
      </w:tr>
    </w:tbl>
    <w:p w:rsidR="00A1205A" w:rsidRDefault="00A1205A"/>
    <w:p w:rsidR="00A1205A" w:rsidRDefault="009E0DC1">
      <w:pPr>
        <w:pStyle w:val="Heading2"/>
      </w:pPr>
      <w:r>
        <w:br w:type="page"/>
      </w:r>
      <w:bookmarkStart w:id="26" w:name="_Toc256000025"/>
      <w:r>
        <w:lastRenderedPageBreak/>
        <w:t>Действия, предприети за изпълнение на приложимите общи предварителни условия</w:t>
      </w:r>
      <w:bookmarkEnd w:id="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0"/>
        <w:gridCol w:w="1491"/>
        <w:gridCol w:w="2148"/>
        <w:gridCol w:w="1491"/>
        <w:gridCol w:w="2148"/>
        <w:gridCol w:w="1491"/>
        <w:gridCol w:w="979"/>
        <w:gridCol w:w="960"/>
        <w:gridCol w:w="936"/>
      </w:tblGrid>
      <w:tr w:rsidR="00A1205A">
        <w:tc>
          <w:tcPr>
            <w:tcW w:w="250" w:type="pct"/>
            <w:shd w:val="clear" w:color="auto" w:fill="C0C0C0"/>
            <w:tcMar>
              <w:top w:w="20" w:type="dxa"/>
              <w:left w:w="20" w:type="dxa"/>
              <w:bottom w:w="20" w:type="dxa"/>
            </w:tcMar>
            <w:vAlign w:val="center"/>
          </w:tcPr>
          <w:p w:rsidR="00A1205A" w:rsidRDefault="009E0DC1">
            <w:pPr>
              <w:rPr>
                <w:b/>
                <w:sz w:val="16"/>
              </w:rPr>
            </w:pPr>
            <w:r>
              <w:rPr>
                <w:b/>
                <w:sz w:val="16"/>
              </w:rPr>
              <w:t>Общо предварително условие</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Критерий</w:t>
            </w:r>
          </w:p>
        </w:tc>
        <w:tc>
          <w:tcPr>
            <w:tcW w:w="1000" w:type="pct"/>
            <w:shd w:val="clear" w:color="auto" w:fill="C0C0C0"/>
            <w:tcMar>
              <w:top w:w="20" w:type="dxa"/>
              <w:left w:w="20" w:type="dxa"/>
              <w:bottom w:w="20" w:type="dxa"/>
            </w:tcMar>
            <w:vAlign w:val="center"/>
          </w:tcPr>
          <w:p w:rsidR="00A1205A" w:rsidRDefault="009E0DC1">
            <w:pPr>
              <w:rPr>
                <w:b/>
                <w:sz w:val="16"/>
              </w:rPr>
            </w:pPr>
            <w:r>
              <w:rPr>
                <w:b/>
                <w:sz w:val="16"/>
              </w:rPr>
              <w:t>Действия, които следва да бъдат предприети</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Краен срок</w:t>
            </w:r>
          </w:p>
        </w:tc>
        <w:tc>
          <w:tcPr>
            <w:tcW w:w="1000" w:type="pct"/>
            <w:shd w:val="clear" w:color="auto" w:fill="C0C0C0"/>
            <w:tcMar>
              <w:top w:w="20" w:type="dxa"/>
              <w:left w:w="20" w:type="dxa"/>
              <w:bottom w:w="20" w:type="dxa"/>
            </w:tcMar>
            <w:vAlign w:val="center"/>
          </w:tcPr>
          <w:p w:rsidR="00A1205A" w:rsidRDefault="009E0DC1">
            <w:pPr>
              <w:rPr>
                <w:b/>
                <w:sz w:val="16"/>
              </w:rPr>
            </w:pPr>
            <w:r>
              <w:rPr>
                <w:b/>
                <w:sz w:val="16"/>
              </w:rPr>
              <w:t>Орган, отговарящ за изпълнението</w:t>
            </w:r>
          </w:p>
        </w:tc>
        <w:tc>
          <w:tcPr>
            <w:tcW w:w="1000" w:type="pct"/>
            <w:shd w:val="clear" w:color="auto" w:fill="C0C0C0"/>
            <w:tcMar>
              <w:top w:w="20" w:type="dxa"/>
              <w:left w:w="20" w:type="dxa"/>
              <w:bottom w:w="20" w:type="dxa"/>
            </w:tcMar>
            <w:vAlign w:val="center"/>
          </w:tcPr>
          <w:p w:rsidR="00A1205A" w:rsidRDefault="009E0DC1">
            <w:pPr>
              <w:rPr>
                <w:b/>
                <w:sz w:val="16"/>
              </w:rPr>
            </w:pPr>
            <w:r>
              <w:rPr>
                <w:b/>
                <w:sz w:val="16"/>
              </w:rPr>
              <w:t>Предприети действия</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Дата на изпълнение на действието</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Становище на Комисията</w:t>
            </w:r>
          </w:p>
        </w:tc>
        <w:tc>
          <w:tcPr>
            <w:tcW w:w="750" w:type="pct"/>
            <w:shd w:val="clear" w:color="auto" w:fill="C0C0C0"/>
            <w:tcMar>
              <w:top w:w="20" w:type="dxa"/>
              <w:left w:w="20" w:type="dxa"/>
              <w:bottom w:w="20" w:type="dxa"/>
            </w:tcMar>
            <w:vAlign w:val="center"/>
          </w:tcPr>
          <w:p w:rsidR="00A1205A" w:rsidRDefault="009E0DC1">
            <w:pPr>
              <w:rPr>
                <w:sz w:val="16"/>
              </w:rPr>
            </w:pPr>
            <w:r>
              <w:rPr>
                <w:b/>
                <w:sz w:val="16"/>
              </w:rPr>
              <w:t>Коментари</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G4</w:t>
            </w:r>
          </w:p>
        </w:tc>
        <w:tc>
          <w:tcPr>
            <w:tcW w:w="750" w:type="pct"/>
            <w:shd w:val="clear" w:color="auto" w:fill="FFFFFF"/>
            <w:tcMar>
              <w:top w:w="20" w:type="dxa"/>
              <w:left w:w="20" w:type="dxa"/>
              <w:bottom w:w="20" w:type="dxa"/>
            </w:tcMar>
            <w:vAlign w:val="center"/>
          </w:tcPr>
          <w:p w:rsidR="00A1205A" w:rsidRDefault="009E0DC1">
            <w:pPr>
              <w:rPr>
                <w:sz w:val="16"/>
              </w:rPr>
            </w:pPr>
            <w:r>
              <w:rPr>
                <w:sz w:val="16"/>
              </w:rPr>
              <w:t>G4.a</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Установяване на кодифицирано, устойчиво и опростено законодателство в областта на обществените поръчки чрез приемане на нов Закон за обществените поръчки и подзаконови актове по прилагането му.</w:t>
            </w:r>
          </w:p>
          <w:p w:rsidR="00A1205A" w:rsidRDefault="009E0DC1">
            <w:pPr>
              <w:spacing w:before="150" w:after="150"/>
              <w:jc w:val="left"/>
              <w:rPr>
                <w:sz w:val="15"/>
                <w:szCs w:val="15"/>
              </w:rPr>
            </w:pPr>
            <w:r>
              <w:rPr>
                <w:sz w:val="15"/>
                <w:szCs w:val="15"/>
              </w:rPr>
              <w:t>Въвеждане на мерки за засилване на системите за управление и контрол на европейските фондове, вкл. ефективно сътрудничество с цел гарантиране на съгласуваност между действията при предварителния и последващия контрол</w:t>
            </w:r>
          </w:p>
          <w:p w:rsidR="00A1205A" w:rsidRDefault="009E0DC1">
            <w:pPr>
              <w:spacing w:before="150" w:after="150"/>
              <w:jc w:val="left"/>
              <w:rPr>
                <w:sz w:val="15"/>
                <w:szCs w:val="15"/>
              </w:rPr>
            </w:pPr>
            <w:r>
              <w:rPr>
                <w:sz w:val="15"/>
                <w:szCs w:val="15"/>
              </w:rPr>
              <w:t>Преглед на системата за обжалване и предложения за нейното оптимизиране </w:t>
            </w:r>
          </w:p>
          <w:p w:rsidR="00A1205A" w:rsidRDefault="009E0DC1">
            <w:pPr>
              <w:spacing w:before="150" w:after="150"/>
              <w:jc w:val="left"/>
              <w:rPr>
                <w:sz w:val="15"/>
                <w:szCs w:val="15"/>
              </w:rPr>
            </w:pPr>
            <w:r>
              <w:rPr>
                <w:sz w:val="15"/>
                <w:szCs w:val="15"/>
              </w:rPr>
              <w:t>( вж. Приложение 3, р-л 6.3 )</w:t>
            </w:r>
          </w:p>
          <w:p w:rsidR="00A1205A" w:rsidRDefault="009E0DC1">
            <w:pPr>
              <w:spacing w:before="150" w:after="150"/>
              <w:jc w:val="left"/>
              <w:rPr>
                <w:sz w:val="15"/>
                <w:szCs w:val="15"/>
              </w:rPr>
            </w:pPr>
            <w:r>
              <w:rPr>
                <w:sz w:val="15"/>
                <w:szCs w:val="15"/>
              </w:rPr>
              <w:t>Специфични действия по ПРСР във връзка с въвеждане на мерки за засилване на системите за управление и контрол на европейските фондове, включващи предварителния и последващия контрол. </w:t>
            </w:r>
          </w:p>
          <w:p w:rsidR="00A1205A" w:rsidRDefault="009E0DC1">
            <w:pPr>
              <w:spacing w:before="150" w:after="150"/>
              <w:jc w:val="left"/>
              <w:rPr>
                <w:sz w:val="15"/>
                <w:szCs w:val="15"/>
              </w:rPr>
            </w:pPr>
            <w:r>
              <w:rPr>
                <w:sz w:val="15"/>
                <w:szCs w:val="15"/>
              </w:rPr>
              <w:t xml:space="preserve">Извършване на предварителен контрол на планираните обществени поръчки съобразно Указанията към бенефициентите и ЗОП. Звената в УО и РА, извършващи контрол върху обществените поръчки, ще бъдат определени за контактни </w:t>
            </w:r>
            <w:r>
              <w:rPr>
                <w:sz w:val="15"/>
                <w:szCs w:val="15"/>
              </w:rPr>
              <w:lastRenderedPageBreak/>
              <w:t>точки. </w:t>
            </w:r>
          </w:p>
          <w:p w:rsidR="00A1205A" w:rsidRDefault="009E0DC1">
            <w:pPr>
              <w:spacing w:before="150" w:after="150"/>
              <w:jc w:val="left"/>
              <w:rPr>
                <w:sz w:val="15"/>
                <w:szCs w:val="15"/>
              </w:rPr>
            </w:pPr>
            <w:r>
              <w:rPr>
                <w:sz w:val="15"/>
                <w:szCs w:val="15"/>
              </w:rPr>
              <w:t>Извършване последващ контрол на вече проведени обществени поръчки. Срок 30.09.2015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31/01/2016</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МИЕ</w:t>
            </w:r>
          </w:p>
          <w:p w:rsidR="00A1205A" w:rsidRDefault="009E0DC1">
            <w:pPr>
              <w:rPr>
                <w:sz w:val="16"/>
              </w:rPr>
            </w:pPr>
            <w:r>
              <w:rPr>
                <w:sz w:val="16"/>
              </w:rPr>
              <w:t>АОП</w:t>
            </w:r>
          </w:p>
          <w:p w:rsidR="00A1205A" w:rsidRDefault="009E0DC1">
            <w:pPr>
              <w:rPr>
                <w:sz w:val="16"/>
              </w:rPr>
            </w:pPr>
            <w:r>
              <w:rPr>
                <w:sz w:val="16"/>
              </w:rPr>
              <w:t>ИПА</w:t>
            </w:r>
          </w:p>
          <w:p w:rsidR="00A1205A" w:rsidRDefault="009E0DC1">
            <w:pPr>
              <w:rPr>
                <w:sz w:val="16"/>
              </w:rPr>
            </w:pPr>
            <w:r>
              <w:rPr>
                <w:sz w:val="16"/>
              </w:rPr>
              <w:t xml:space="preserve">УО </w:t>
            </w:r>
          </w:p>
          <w:p w:rsidR="00A1205A" w:rsidRDefault="009E0DC1">
            <w:pPr>
              <w:rPr>
                <w:sz w:val="16"/>
              </w:rPr>
            </w:pPr>
            <w:r>
              <w:rPr>
                <w:sz w:val="16"/>
              </w:rPr>
              <w:t>АОП</w:t>
            </w:r>
          </w:p>
          <w:p w:rsidR="00A1205A" w:rsidRDefault="009E0DC1">
            <w:pPr>
              <w:rPr>
                <w:sz w:val="16"/>
              </w:rPr>
            </w:pPr>
            <w:r>
              <w:rPr>
                <w:sz w:val="16"/>
              </w:rPr>
              <w:t>КЗК</w:t>
            </w:r>
          </w:p>
          <w:p w:rsidR="00A1205A" w:rsidRDefault="009E0DC1">
            <w:pPr>
              <w:rPr>
                <w:sz w:val="16"/>
              </w:rPr>
            </w:pPr>
            <w:r>
              <w:rPr>
                <w:sz w:val="16"/>
              </w:rPr>
              <w:t>ВАС</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Доклад за изпълнение на условие ОПУ 4 е изпратен до ЕК през SFC на дата 23.03.2017 г.</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G4</w:t>
            </w:r>
          </w:p>
        </w:tc>
        <w:tc>
          <w:tcPr>
            <w:tcW w:w="750" w:type="pct"/>
            <w:shd w:val="clear" w:color="auto" w:fill="FFFFFF"/>
            <w:tcMar>
              <w:top w:w="20" w:type="dxa"/>
              <w:left w:w="20" w:type="dxa"/>
              <w:bottom w:w="20" w:type="dxa"/>
            </w:tcMar>
            <w:vAlign w:val="center"/>
          </w:tcPr>
          <w:p w:rsidR="00A1205A" w:rsidRDefault="009E0DC1">
            <w:pPr>
              <w:rPr>
                <w:sz w:val="16"/>
              </w:rPr>
            </w:pPr>
            <w:r>
              <w:rPr>
                <w:sz w:val="16"/>
              </w:rPr>
              <w:t>G4.c</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Поддържане и повишаване на капацитета и експертизата на УО на ПРСР и ДФЗ чрез провеждане на редовни срещи, обучения и семинари по ЗОП между УО, ДФЗ, АОП и бенефициентите по ПРСР. –  срока на прилагане на ПРСР 2014-2020. (действието е в съответствие с План за действие за намаляване на нивото на грешка по ПРСР)</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30/09/2015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Органите съгласно Стратегията.</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G4</w:t>
            </w:r>
          </w:p>
        </w:tc>
        <w:tc>
          <w:tcPr>
            <w:tcW w:w="750" w:type="pct"/>
            <w:shd w:val="clear" w:color="auto" w:fill="FFFFFF"/>
            <w:tcMar>
              <w:top w:w="20" w:type="dxa"/>
              <w:left w:w="20" w:type="dxa"/>
              <w:bottom w:w="20" w:type="dxa"/>
            </w:tcMar>
            <w:vAlign w:val="center"/>
          </w:tcPr>
          <w:p w:rsidR="00A1205A" w:rsidRDefault="009E0DC1">
            <w:pPr>
              <w:rPr>
                <w:sz w:val="16"/>
              </w:rPr>
            </w:pPr>
            <w:r>
              <w:rPr>
                <w:sz w:val="16"/>
              </w:rPr>
              <w:t>G4.d</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Осигуряване на техническа помощ за лицата, които прилагат правилата за възлагане на обществени поръчки чрез организиране и провеждане на текущи обучения и други необходими мерки/действия, определени след проучване и консултация със съответните целеви групи</w:t>
            </w:r>
          </w:p>
          <w:p w:rsidR="00A1205A" w:rsidRDefault="009E0DC1">
            <w:pPr>
              <w:spacing w:before="150" w:after="150"/>
              <w:jc w:val="left"/>
              <w:rPr>
                <w:sz w:val="15"/>
                <w:szCs w:val="15"/>
              </w:rPr>
            </w:pPr>
            <w:r>
              <w:rPr>
                <w:b/>
                <w:bCs/>
                <w:sz w:val="15"/>
                <w:szCs w:val="15"/>
              </w:rPr>
              <w:t>Специфични действия за ПРСР:</w:t>
            </w:r>
          </w:p>
          <w:p w:rsidR="00A1205A" w:rsidRDefault="009E0DC1">
            <w:pPr>
              <w:spacing w:before="15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Изготвяне на указания към бенефициентите по ПРСР за прилагане на Закона за обществените поръчки.</w:t>
            </w:r>
          </w:p>
          <w:p w:rsidR="00A1205A" w:rsidRDefault="009E0DC1">
            <w:pPr>
              <w:spacing w:before="150" w:after="150"/>
              <w:jc w:val="left"/>
              <w:rPr>
                <w:sz w:val="15"/>
                <w:szCs w:val="15"/>
              </w:rPr>
            </w:pPr>
            <w:r>
              <w:rPr>
                <w:sz w:val="15"/>
                <w:szCs w:val="15"/>
              </w:rPr>
              <w:t>Действие 2</w:t>
            </w:r>
          </w:p>
          <w:p w:rsidR="00A1205A" w:rsidRDefault="009E0DC1">
            <w:pPr>
              <w:spacing w:before="150" w:after="150"/>
              <w:jc w:val="left"/>
              <w:rPr>
                <w:sz w:val="15"/>
                <w:szCs w:val="15"/>
              </w:rPr>
            </w:pPr>
            <w:r>
              <w:rPr>
                <w:sz w:val="15"/>
                <w:szCs w:val="15"/>
              </w:rPr>
              <w:t>Информиране на потенциалните бенефициенти за Указанията.</w:t>
            </w:r>
          </w:p>
          <w:p w:rsidR="00A1205A" w:rsidRDefault="009E0DC1">
            <w:pPr>
              <w:spacing w:before="150" w:after="150"/>
              <w:jc w:val="left"/>
              <w:rPr>
                <w:sz w:val="15"/>
                <w:szCs w:val="15"/>
              </w:rPr>
            </w:pPr>
            <w:r>
              <w:rPr>
                <w:sz w:val="15"/>
                <w:szCs w:val="15"/>
              </w:rPr>
              <w:t>Действие 3</w:t>
            </w:r>
          </w:p>
          <w:p w:rsidR="00A1205A" w:rsidRDefault="009E0DC1">
            <w:pPr>
              <w:spacing w:before="150" w:after="150"/>
              <w:jc w:val="left"/>
              <w:rPr>
                <w:sz w:val="15"/>
                <w:szCs w:val="15"/>
              </w:rPr>
            </w:pPr>
            <w:r>
              <w:rPr>
                <w:sz w:val="15"/>
                <w:szCs w:val="15"/>
              </w:rPr>
              <w:lastRenderedPageBreak/>
              <w:t>Разработване на стандартизирани критерии за възлагане по видове и типове инвестиционни дейности за прилагане на процедурите по ЗОП, които да бъдат допълнени към Указанията.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30/09/2015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ИПА, УО, АОП</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G7</w:t>
            </w:r>
          </w:p>
        </w:tc>
        <w:tc>
          <w:tcPr>
            <w:tcW w:w="750" w:type="pct"/>
            <w:shd w:val="clear" w:color="auto" w:fill="FFFFFF"/>
            <w:tcMar>
              <w:top w:w="20" w:type="dxa"/>
              <w:left w:w="20" w:type="dxa"/>
              <w:bottom w:w="20" w:type="dxa"/>
            </w:tcMar>
            <w:vAlign w:val="center"/>
          </w:tcPr>
          <w:p w:rsidR="00A1205A" w:rsidRDefault="009E0DC1">
            <w:pPr>
              <w:rPr>
                <w:sz w:val="16"/>
              </w:rPr>
            </w:pPr>
            <w:r>
              <w:rPr>
                <w:sz w:val="16"/>
              </w:rPr>
              <w:t>G7.c</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Избор на показатели за резултатите за всяка оперативна програма.</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Показателите за изпълнение и резултат да са относими и обвързани с тематичните оси, цели и мерки по ОП.</w:t>
            </w:r>
          </w:p>
          <w:p w:rsidR="00A1205A" w:rsidRDefault="009E0DC1">
            <w:pPr>
              <w:spacing w:before="150" w:after="150"/>
              <w:jc w:val="left"/>
              <w:rPr>
                <w:sz w:val="15"/>
                <w:szCs w:val="15"/>
              </w:rPr>
            </w:pPr>
            <w:r>
              <w:rPr>
                <w:sz w:val="15"/>
                <w:szCs w:val="15"/>
              </w:rPr>
              <w:t>За целите на статистическото валидиране ще се приложи унифицирана система за изискванията по събирането на микроданни, за приложимите методологии и дефиниции за техния обхват и за приложимата процедура за обработка за и обобщаване на данните. Рамката за статистическо валидиране ще се разработи в съответствие с European Code of Practice и методологическите изисквания на статистическите регламенти на ЕК и Парламента.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Сформирана е целева работна група в НСИ за работа по подготовката и мониторинга по оперативните програми.</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01/12/2016</w:t>
            </w:r>
          </w:p>
        </w:tc>
        <w:tc>
          <w:tcPr>
            <w:tcW w:w="750" w:type="pct"/>
            <w:shd w:val="clear" w:color="auto" w:fill="FFFFFF"/>
            <w:tcMar>
              <w:top w:w="20" w:type="dxa"/>
              <w:left w:w="20" w:type="dxa"/>
              <w:bottom w:w="20" w:type="dxa"/>
            </w:tcMar>
            <w:vAlign w:val="center"/>
          </w:tcPr>
          <w:p w:rsidR="00A1205A" w:rsidRDefault="009E0DC1">
            <w:pPr>
              <w:rPr>
                <w:sz w:val="16"/>
              </w:rPr>
            </w:pPr>
            <w:r>
              <w:rPr>
                <w:sz w:val="16"/>
              </w:rPr>
              <w:t>НСИ, УО</w:t>
            </w:r>
          </w:p>
        </w:tc>
        <w:tc>
          <w:tcPr>
            <w:tcW w:w="750" w:type="pct"/>
            <w:shd w:val="clear" w:color="auto" w:fill="FFFFFF"/>
            <w:tcMar>
              <w:top w:w="20" w:type="dxa"/>
              <w:left w:w="20" w:type="dxa"/>
              <w:bottom w:w="20" w:type="dxa"/>
            </w:tcMar>
            <w:vAlign w:val="center"/>
          </w:tcPr>
          <w:p w:rsidR="00A1205A" w:rsidRDefault="009E0DC1">
            <w:pPr>
              <w:rPr>
                <w:sz w:val="16"/>
              </w:rPr>
            </w:pPr>
            <w:r>
              <w:rPr>
                <w:sz w:val="16"/>
              </w:rPr>
              <w:t>Доклад за изпълнение на условие ОПУ 7 е официално изпратено през SFC и е одобрен от ЕК с писмо от дата 17.06.2017 г.</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G7</w:t>
            </w:r>
          </w:p>
        </w:tc>
        <w:tc>
          <w:tcPr>
            <w:tcW w:w="750" w:type="pct"/>
            <w:shd w:val="clear" w:color="auto" w:fill="FFFFFF"/>
            <w:tcMar>
              <w:top w:w="20" w:type="dxa"/>
              <w:left w:w="20" w:type="dxa"/>
              <w:bottom w:w="20" w:type="dxa"/>
            </w:tcMar>
            <w:vAlign w:val="center"/>
          </w:tcPr>
          <w:p w:rsidR="00A1205A" w:rsidRDefault="009E0DC1">
            <w:pPr>
              <w:rPr>
                <w:sz w:val="16"/>
              </w:rPr>
            </w:pPr>
            <w:r>
              <w:rPr>
                <w:sz w:val="16"/>
              </w:rPr>
              <w:t>G7.f</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Действие 2</w:t>
            </w:r>
          </w:p>
          <w:p w:rsidR="00A1205A" w:rsidRDefault="009E0DC1">
            <w:pPr>
              <w:spacing w:before="150" w:after="150"/>
              <w:jc w:val="left"/>
              <w:rPr>
                <w:sz w:val="15"/>
                <w:szCs w:val="15"/>
              </w:rPr>
            </w:pPr>
            <w:r>
              <w:rPr>
                <w:sz w:val="15"/>
                <w:szCs w:val="15"/>
              </w:rPr>
              <w:t>Проверка относно спазване на изискванията за всеки индикатор по отношение на неговата устойчивост, яснота на тълкуването, своевременност на събиране на данните и отзивчивост към политиката.</w:t>
            </w:r>
          </w:p>
          <w:p w:rsidR="00A1205A" w:rsidRDefault="009E0DC1">
            <w:pPr>
              <w:spacing w:before="150" w:after="150"/>
              <w:jc w:val="left"/>
              <w:rPr>
                <w:sz w:val="15"/>
                <w:szCs w:val="15"/>
              </w:rPr>
            </w:pPr>
            <w:r>
              <w:rPr>
                <w:sz w:val="15"/>
                <w:szCs w:val="15"/>
              </w:rPr>
              <w:t>Изпратена е информация към НСИ за индикаторите, за които следва да се събира информация относно  ПРСР.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01/12/2016</w:t>
            </w:r>
          </w:p>
        </w:tc>
        <w:tc>
          <w:tcPr>
            <w:tcW w:w="750" w:type="pct"/>
            <w:shd w:val="clear" w:color="auto" w:fill="FFFFFF"/>
            <w:tcMar>
              <w:top w:w="20" w:type="dxa"/>
              <w:left w:w="20" w:type="dxa"/>
              <w:bottom w:w="20" w:type="dxa"/>
            </w:tcMar>
            <w:vAlign w:val="center"/>
          </w:tcPr>
          <w:p w:rsidR="00A1205A" w:rsidRDefault="009E0DC1">
            <w:pPr>
              <w:rPr>
                <w:sz w:val="16"/>
              </w:rPr>
            </w:pPr>
            <w:r>
              <w:rPr>
                <w:sz w:val="16"/>
              </w:rPr>
              <w:t>НСИ, УО</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bl>
    <w:p w:rsidR="00A1205A" w:rsidRDefault="00A1205A"/>
    <w:p w:rsidR="00A1205A" w:rsidRDefault="009E0DC1">
      <w:pPr>
        <w:pStyle w:val="Heading2"/>
      </w:pPr>
      <w:r>
        <w:br w:type="page"/>
      </w:r>
      <w:bookmarkStart w:id="27" w:name="_Toc256000026"/>
      <w:r>
        <w:lastRenderedPageBreak/>
        <w:t>Неизпълнени критерии за свързаните с приоритет предварителни условия</w:t>
      </w:r>
      <w:bookmarkEnd w:id="2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67"/>
        <w:gridCol w:w="6567"/>
      </w:tblGrid>
      <w:tr w:rsidR="00A1205A">
        <w:tc>
          <w:tcPr>
            <w:tcW w:w="750" w:type="pct"/>
            <w:shd w:val="clear" w:color="auto" w:fill="C0C0C0"/>
            <w:tcMar>
              <w:top w:w="20" w:type="dxa"/>
              <w:left w:w="20" w:type="dxa"/>
              <w:bottom w:w="20" w:type="dxa"/>
            </w:tcMar>
            <w:vAlign w:val="center"/>
          </w:tcPr>
          <w:p w:rsidR="00A1205A" w:rsidRDefault="009E0DC1">
            <w:pPr>
              <w:rPr>
                <w:b/>
                <w:sz w:val="16"/>
              </w:rPr>
            </w:pPr>
            <w:r>
              <w:rPr>
                <w:b/>
                <w:sz w:val="16"/>
              </w:rPr>
              <w:t>Свързано с приоритет предварително условие</w:t>
            </w:r>
          </w:p>
        </w:tc>
        <w:tc>
          <w:tcPr>
            <w:tcW w:w="750" w:type="pct"/>
            <w:shd w:val="clear" w:color="auto" w:fill="C0C0C0"/>
            <w:tcMar>
              <w:top w:w="20" w:type="dxa"/>
              <w:left w:w="20" w:type="dxa"/>
              <w:bottom w:w="20" w:type="dxa"/>
            </w:tcMar>
            <w:vAlign w:val="center"/>
          </w:tcPr>
          <w:p w:rsidR="00A1205A" w:rsidRDefault="009E0DC1">
            <w:pPr>
              <w:rPr>
                <w:sz w:val="16"/>
              </w:rPr>
            </w:pPr>
            <w:r>
              <w:rPr>
                <w:b/>
                <w:sz w:val="16"/>
              </w:rPr>
              <w:t>Критерий</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P3.1 -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750" w:type="pct"/>
            <w:shd w:val="clear" w:color="auto" w:fill="FFFFFF"/>
            <w:tcMar>
              <w:top w:w="20" w:type="dxa"/>
              <w:left w:w="20" w:type="dxa"/>
              <w:bottom w:w="20" w:type="dxa"/>
            </w:tcMar>
            <w:vAlign w:val="center"/>
          </w:tcPr>
          <w:p w:rsidR="00A1205A" w:rsidRDefault="009E0DC1">
            <w:pPr>
              <w:rPr>
                <w:sz w:val="16"/>
              </w:rPr>
            </w:pPr>
            <w:r>
              <w:rPr>
                <w:sz w:val="16"/>
              </w:rPr>
              <w:t>P3.1.a - Въведена е национална или регионална оценка на риска със следните елементи: описание на процеса, методологията, методите и неповерителните данни, използвани за оценка на риска, както и на основаните на риска критерии за определяне на приоритетите по отношение на инвестициите;</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P3.1 -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750" w:type="pct"/>
            <w:shd w:val="clear" w:color="auto" w:fill="FFFFFF"/>
            <w:tcMar>
              <w:top w:w="20" w:type="dxa"/>
              <w:left w:w="20" w:type="dxa"/>
              <w:bottom w:w="20" w:type="dxa"/>
            </w:tcMar>
            <w:vAlign w:val="center"/>
          </w:tcPr>
          <w:p w:rsidR="00A1205A" w:rsidRDefault="009E0DC1">
            <w:pPr>
              <w:rPr>
                <w:sz w:val="16"/>
              </w:rPr>
            </w:pPr>
            <w:r>
              <w:rPr>
                <w:sz w:val="16"/>
              </w:rPr>
              <w:t>P3.1.b - Въведена е национална или регионална оценка на риска със следните елементи: описание на сценарии с един риск и множество рискове;</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P3.1 - Превенция и управление на риска: наличие на национални или регионални оценки на риска с оглед управлението на бедствия, като се отчита адаптирането към изменението на климата</w:t>
            </w:r>
          </w:p>
        </w:tc>
        <w:tc>
          <w:tcPr>
            <w:tcW w:w="750" w:type="pct"/>
            <w:shd w:val="clear" w:color="auto" w:fill="FFFFFF"/>
            <w:tcMar>
              <w:top w:w="20" w:type="dxa"/>
              <w:left w:w="20" w:type="dxa"/>
              <w:bottom w:w="20" w:type="dxa"/>
            </w:tcMar>
            <w:vAlign w:val="center"/>
          </w:tcPr>
          <w:p w:rsidR="00A1205A" w:rsidRDefault="009E0DC1">
            <w:pPr>
              <w:rPr>
                <w:sz w:val="16"/>
              </w:rPr>
            </w:pPr>
            <w:r>
              <w:rPr>
                <w:sz w:val="16"/>
              </w:rPr>
              <w:t>P3.1.c - Въведена е национална или регионална оценка на риска със следните елементи: когато е уместно, отчитане на националните стратегии за адаптиране към изменението на климата,</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P5.2 - Воден сектор: Наличие на а)  политика за определяне на цените на водата, която осигурява на потребителите подходящи стимули да използват водните ресурси ефективно, и б) адекватен принос на различните потребители на вода към възстановяването на разходите за водни услуги на равнище, определено в одобрения план за управление на речните басейни за инвестициите, подкрепени от програмите.</w:t>
            </w:r>
          </w:p>
        </w:tc>
        <w:tc>
          <w:tcPr>
            <w:tcW w:w="750" w:type="pct"/>
            <w:shd w:val="clear" w:color="auto" w:fill="FFFFFF"/>
            <w:tcMar>
              <w:top w:w="20" w:type="dxa"/>
              <w:left w:w="20" w:type="dxa"/>
              <w:bottom w:w="20" w:type="dxa"/>
            </w:tcMar>
            <w:vAlign w:val="center"/>
          </w:tcPr>
          <w:p w:rsidR="00A1205A" w:rsidRDefault="009E0DC1">
            <w:pPr>
              <w:rPr>
                <w:sz w:val="16"/>
              </w:rPr>
            </w:pPr>
            <w:r>
              <w:rPr>
                <w:sz w:val="16"/>
              </w:rPr>
              <w:t>P5.2.a - В подпомаганите от ЕЗФРСР сектори държавата членка е осигурила участието на различните видове ползване на водите във възстановяването на разходите за водни услуги от отрасъла в съответствие с член 9, параграф 1, първо тире от Рамковата директива за водите, като се отчита по целесъобразност социалното, екологичното и икономическото въздействие на това възстановяване, както и географските и климатичните условия в засегнатия(те) регион(и).</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P6.1 -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750" w:type="pct"/>
            <w:shd w:val="clear" w:color="auto" w:fill="FFFFFF"/>
            <w:tcMar>
              <w:top w:w="20" w:type="dxa"/>
              <w:left w:w="20" w:type="dxa"/>
              <w:bottom w:w="20" w:type="dxa"/>
            </w:tcMar>
            <w:vAlign w:val="center"/>
          </w:tcPr>
          <w:p w:rsidR="00A1205A" w:rsidRDefault="009E0DC1">
            <w:pPr>
              <w:rPr>
                <w:sz w:val="16"/>
              </w:rPr>
            </w:pPr>
            <w:r>
              <w:rPr>
                <w:sz w:val="16"/>
              </w:rPr>
              <w:t>P6.1.a - Въведен е национален или регионален план за мрежова инфраструктура от следващо поколение, който включва: основан на икономически анализ план за инвестициите в инфраструктурата, в който се отчитат съществуващата частна и публична инфраструктура и планирани инвестиции;</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P6.1 -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750" w:type="pct"/>
            <w:shd w:val="clear" w:color="auto" w:fill="FFFFFF"/>
            <w:tcMar>
              <w:top w:w="20" w:type="dxa"/>
              <w:left w:w="20" w:type="dxa"/>
              <w:bottom w:w="20" w:type="dxa"/>
            </w:tcMar>
            <w:vAlign w:val="center"/>
          </w:tcPr>
          <w:p w:rsidR="00A1205A" w:rsidRDefault="009E0DC1">
            <w:pPr>
              <w:rPr>
                <w:sz w:val="16"/>
              </w:rPr>
            </w:pPr>
            <w:r>
              <w:rPr>
                <w:sz w:val="16"/>
              </w:rPr>
              <w:t>P6.1.b - Въведен е национален или регионален план за мрежова инфраструктура от следващо поколение, който включва: модели за устойчиви инвестиции, които повишават конкуренцията и обезпечават достъп до отворени качествени инфраструктура и услуги на приемлива цена, които са готови за бъдещето;</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 xml:space="preserve">P6.1 - Инфраструктура за мрежи за достъп от следващо поколение (NGN): наличие на национални или регионални планове за достъп от следващо поколение, които вземат под внимание регионалните дейности, за да се постигнат целите на Съюза във връзка с достъпа до високоскоростен Интернет, съсредоточавайки се върху областите, в които пазарът не </w:t>
            </w:r>
            <w:r>
              <w:rPr>
                <w:sz w:val="16"/>
              </w:rPr>
              <w:lastRenderedPageBreak/>
              <w:t>осигурява отворена инфраструктура на приемлива цена и с качество, съответстващо на правилата на Съюза за конкуренцията и държавните помощи, и за предоставяне на достъпни услуги за уязвимите групи.</w:t>
            </w:r>
          </w:p>
        </w:tc>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P6.1.c - Въведен е национален или регионален план за мрежова инфраструктура от следващо поколение, който включва: мерки за стимулиране на частните инвестиции.</w:t>
            </w:r>
          </w:p>
        </w:tc>
      </w:tr>
    </w:tbl>
    <w:p w:rsidR="00A1205A" w:rsidRDefault="00A1205A"/>
    <w:p w:rsidR="00A1205A" w:rsidRDefault="009E0DC1">
      <w:pPr>
        <w:pStyle w:val="Heading2"/>
      </w:pPr>
      <w:r>
        <w:br w:type="page"/>
      </w:r>
      <w:bookmarkStart w:id="28" w:name="_Toc256000027"/>
      <w:r>
        <w:lastRenderedPageBreak/>
        <w:t>Действия, предприети за изпълнение на приложимите предварителни условия, свързани с приоритет</w:t>
      </w:r>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911"/>
        <w:gridCol w:w="4255"/>
        <w:gridCol w:w="1063"/>
        <w:gridCol w:w="1722"/>
        <w:gridCol w:w="1087"/>
        <w:gridCol w:w="979"/>
        <w:gridCol w:w="960"/>
        <w:gridCol w:w="936"/>
      </w:tblGrid>
      <w:tr w:rsidR="00A1205A">
        <w:tc>
          <w:tcPr>
            <w:tcW w:w="250" w:type="pct"/>
            <w:shd w:val="clear" w:color="auto" w:fill="C0C0C0"/>
            <w:tcMar>
              <w:top w:w="20" w:type="dxa"/>
              <w:left w:w="20" w:type="dxa"/>
              <w:bottom w:w="20" w:type="dxa"/>
            </w:tcMar>
            <w:vAlign w:val="center"/>
          </w:tcPr>
          <w:p w:rsidR="00A1205A" w:rsidRDefault="009E0DC1">
            <w:pPr>
              <w:rPr>
                <w:b/>
                <w:sz w:val="16"/>
              </w:rPr>
            </w:pPr>
            <w:r>
              <w:rPr>
                <w:b/>
                <w:sz w:val="16"/>
              </w:rPr>
              <w:t>Свързано с приоритет предварително условие</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Критерий</w:t>
            </w:r>
          </w:p>
        </w:tc>
        <w:tc>
          <w:tcPr>
            <w:tcW w:w="1000" w:type="pct"/>
            <w:shd w:val="clear" w:color="auto" w:fill="C0C0C0"/>
            <w:tcMar>
              <w:top w:w="20" w:type="dxa"/>
              <w:left w:w="20" w:type="dxa"/>
              <w:bottom w:w="20" w:type="dxa"/>
            </w:tcMar>
            <w:vAlign w:val="center"/>
          </w:tcPr>
          <w:p w:rsidR="00A1205A" w:rsidRDefault="009E0DC1">
            <w:pPr>
              <w:rPr>
                <w:b/>
                <w:sz w:val="16"/>
              </w:rPr>
            </w:pPr>
            <w:r>
              <w:rPr>
                <w:b/>
                <w:sz w:val="16"/>
              </w:rPr>
              <w:t>Действия, които следва да бъдат предприети</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Краен срок</w:t>
            </w:r>
          </w:p>
        </w:tc>
        <w:tc>
          <w:tcPr>
            <w:tcW w:w="1000" w:type="pct"/>
            <w:shd w:val="clear" w:color="auto" w:fill="C0C0C0"/>
            <w:tcMar>
              <w:top w:w="20" w:type="dxa"/>
              <w:left w:w="20" w:type="dxa"/>
              <w:bottom w:w="20" w:type="dxa"/>
            </w:tcMar>
            <w:vAlign w:val="center"/>
          </w:tcPr>
          <w:p w:rsidR="00A1205A" w:rsidRDefault="009E0DC1">
            <w:pPr>
              <w:rPr>
                <w:b/>
                <w:sz w:val="16"/>
              </w:rPr>
            </w:pPr>
            <w:r>
              <w:rPr>
                <w:b/>
                <w:sz w:val="16"/>
              </w:rPr>
              <w:t>Орган, отговарящ за изпълнението</w:t>
            </w:r>
          </w:p>
        </w:tc>
        <w:tc>
          <w:tcPr>
            <w:tcW w:w="1000" w:type="pct"/>
            <w:shd w:val="clear" w:color="auto" w:fill="C0C0C0"/>
            <w:tcMar>
              <w:top w:w="20" w:type="dxa"/>
              <w:left w:w="20" w:type="dxa"/>
              <w:bottom w:w="20" w:type="dxa"/>
            </w:tcMar>
            <w:vAlign w:val="center"/>
          </w:tcPr>
          <w:p w:rsidR="00A1205A" w:rsidRDefault="009E0DC1">
            <w:pPr>
              <w:rPr>
                <w:b/>
                <w:sz w:val="16"/>
              </w:rPr>
            </w:pPr>
            <w:r>
              <w:rPr>
                <w:b/>
                <w:sz w:val="16"/>
              </w:rPr>
              <w:t>Предприети действия</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Дата на изпълнение на действието</w:t>
            </w:r>
          </w:p>
        </w:tc>
        <w:tc>
          <w:tcPr>
            <w:tcW w:w="250" w:type="pct"/>
            <w:shd w:val="clear" w:color="auto" w:fill="C0C0C0"/>
            <w:tcMar>
              <w:top w:w="20" w:type="dxa"/>
              <w:left w:w="20" w:type="dxa"/>
              <w:bottom w:w="20" w:type="dxa"/>
            </w:tcMar>
            <w:vAlign w:val="center"/>
          </w:tcPr>
          <w:p w:rsidR="00A1205A" w:rsidRDefault="009E0DC1">
            <w:pPr>
              <w:rPr>
                <w:b/>
                <w:sz w:val="16"/>
              </w:rPr>
            </w:pPr>
            <w:r>
              <w:rPr>
                <w:b/>
                <w:sz w:val="16"/>
              </w:rPr>
              <w:t>Становище на Комисията</w:t>
            </w:r>
          </w:p>
        </w:tc>
        <w:tc>
          <w:tcPr>
            <w:tcW w:w="750" w:type="pct"/>
            <w:shd w:val="clear" w:color="auto" w:fill="C0C0C0"/>
            <w:tcMar>
              <w:top w:w="20" w:type="dxa"/>
              <w:left w:w="20" w:type="dxa"/>
              <w:bottom w:w="20" w:type="dxa"/>
            </w:tcMar>
            <w:vAlign w:val="center"/>
          </w:tcPr>
          <w:p w:rsidR="00A1205A" w:rsidRDefault="009E0DC1">
            <w:pPr>
              <w:rPr>
                <w:sz w:val="16"/>
              </w:rPr>
            </w:pPr>
            <w:r>
              <w:rPr>
                <w:b/>
                <w:sz w:val="16"/>
              </w:rPr>
              <w:t>Коментари</w:t>
            </w: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P3.1</w:t>
            </w:r>
          </w:p>
        </w:tc>
        <w:tc>
          <w:tcPr>
            <w:tcW w:w="750" w:type="pct"/>
            <w:shd w:val="clear" w:color="auto" w:fill="FFFFFF"/>
            <w:tcMar>
              <w:top w:w="20" w:type="dxa"/>
              <w:left w:w="20" w:type="dxa"/>
              <w:bottom w:w="20" w:type="dxa"/>
            </w:tcMar>
            <w:vAlign w:val="center"/>
          </w:tcPr>
          <w:p w:rsidR="00A1205A" w:rsidRDefault="009E0DC1">
            <w:pPr>
              <w:rPr>
                <w:sz w:val="16"/>
              </w:rPr>
            </w:pPr>
            <w:r>
              <w:rPr>
                <w:sz w:val="16"/>
              </w:rPr>
              <w:t>P3.1.a</w:t>
            </w:r>
          </w:p>
        </w:tc>
        <w:tc>
          <w:tcPr>
            <w:tcW w:w="750" w:type="pct"/>
            <w:shd w:val="clear" w:color="auto" w:fill="FFFFFF"/>
            <w:tcMar>
              <w:top w:w="20" w:type="dxa"/>
              <w:left w:w="20" w:type="dxa"/>
              <w:bottom w:w="20" w:type="dxa"/>
            </w:tcMar>
            <w:vAlign w:val="center"/>
          </w:tcPr>
          <w:p w:rsidR="00A1205A" w:rsidRDefault="009E0DC1">
            <w:pPr>
              <w:spacing w:before="0" w:after="150"/>
              <w:ind w:left="34"/>
              <w:jc w:val="left"/>
              <w:rPr>
                <w:sz w:val="15"/>
                <w:szCs w:val="15"/>
              </w:rPr>
            </w:pPr>
            <w:r>
              <w:rPr>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rsidR="00A1205A" w:rsidRDefault="009E0DC1">
            <w:pPr>
              <w:spacing w:before="150" w:after="150"/>
              <w:jc w:val="left"/>
              <w:rPr>
                <w:sz w:val="15"/>
                <w:szCs w:val="15"/>
              </w:rPr>
            </w:pPr>
            <w:r>
              <w:rPr>
                <w:sz w:val="15"/>
                <w:szCs w:val="15"/>
              </w:rPr>
              <w:t>Действие 2.      </w:t>
            </w:r>
          </w:p>
          <w:p w:rsidR="00A1205A" w:rsidRDefault="009E0DC1">
            <w:pPr>
              <w:spacing w:before="150" w:after="150"/>
              <w:jc w:val="left"/>
              <w:rPr>
                <w:sz w:val="15"/>
                <w:szCs w:val="15"/>
              </w:rPr>
            </w:pPr>
            <w:r>
              <w:rPr>
                <w:sz w:val="15"/>
                <w:szCs w:val="15"/>
              </w:rPr>
              <w:t>Изготвяне на методика за извършване на оценка на риска от горски пожари</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Действие 3.      </w:t>
            </w:r>
          </w:p>
          <w:p w:rsidR="00A1205A" w:rsidRDefault="009E0DC1">
            <w:pPr>
              <w:spacing w:before="150" w:after="150"/>
              <w:jc w:val="left"/>
              <w:rPr>
                <w:sz w:val="15"/>
                <w:szCs w:val="15"/>
              </w:rPr>
            </w:pPr>
            <w:r>
              <w:rPr>
                <w:sz w:val="15"/>
                <w:szCs w:val="15"/>
              </w:rPr>
              <w:t>Описание на основаните на риска критерии за определяне на приоритетите по отношение на инвестициите - в оценката на риска, изготвяна съгласно чл. 4, ал. 1 от Наредбата</w:t>
            </w:r>
          </w:p>
          <w:p w:rsidR="00A1205A" w:rsidRDefault="009E0DC1">
            <w:pPr>
              <w:spacing w:before="150" w:after="150"/>
              <w:jc w:val="left"/>
              <w:rPr>
                <w:sz w:val="15"/>
                <w:szCs w:val="15"/>
              </w:rPr>
            </w:pPr>
            <w:r>
              <w:rPr>
                <w:sz w:val="15"/>
                <w:szCs w:val="15"/>
              </w:rPr>
              <w:t>Действие 4.      </w:t>
            </w:r>
          </w:p>
          <w:p w:rsidR="00A1205A" w:rsidRDefault="009E0DC1">
            <w:pPr>
              <w:spacing w:before="150" w:after="150"/>
              <w:jc w:val="left"/>
              <w:rPr>
                <w:sz w:val="15"/>
                <w:szCs w:val="15"/>
              </w:rPr>
            </w:pPr>
            <w:r>
              <w:rPr>
                <w:sz w:val="15"/>
                <w:szCs w:val="15"/>
              </w:rPr>
              <w:t>Определяне на ясни и координирани отговорности на различните държавни органи при реализирането на необходимите инвестиции в широк спектър от сектори;</w:t>
            </w:r>
          </w:p>
          <w:p w:rsidR="00A1205A" w:rsidRDefault="009E0DC1">
            <w:pPr>
              <w:spacing w:before="150" w:after="150"/>
              <w:jc w:val="left"/>
              <w:rPr>
                <w:sz w:val="15"/>
                <w:szCs w:val="15"/>
              </w:rPr>
            </w:pPr>
            <w:r>
              <w:rPr>
                <w:sz w:val="15"/>
                <w:szCs w:val="15"/>
              </w:rPr>
              <w:t>Действие 5.      </w:t>
            </w:r>
          </w:p>
          <w:p w:rsidR="00A1205A" w:rsidRDefault="009E0DC1">
            <w:pPr>
              <w:spacing w:before="150" w:after="150"/>
              <w:jc w:val="left"/>
              <w:rPr>
                <w:sz w:val="15"/>
                <w:szCs w:val="15"/>
              </w:rPr>
            </w:pPr>
            <w:r>
              <w:rPr>
                <w:sz w:val="15"/>
                <w:szCs w:val="15"/>
              </w:rPr>
              <w:t>Картографиране на рисковете от бедствия.</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Картографирането на риска от наводнение от МОСВ е с по-ранен срок: 22 декември 2015 г.</w:t>
            </w:r>
          </w:p>
          <w:p w:rsidR="00A1205A" w:rsidRDefault="009E0DC1">
            <w:pPr>
              <w:spacing w:before="150" w:after="150"/>
              <w:jc w:val="left"/>
              <w:rPr>
                <w:sz w:val="15"/>
                <w:szCs w:val="15"/>
              </w:rPr>
            </w:pPr>
            <w:r>
              <w:rPr>
                <w:sz w:val="15"/>
                <w:szCs w:val="15"/>
              </w:rPr>
              <w:t>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31/12/2016</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МВР</w:t>
            </w:r>
          </w:p>
          <w:p w:rsidR="00A1205A" w:rsidRDefault="009E0DC1">
            <w:pPr>
              <w:rPr>
                <w:sz w:val="16"/>
              </w:rPr>
            </w:pPr>
            <w:r>
              <w:rPr>
                <w:sz w:val="16"/>
              </w:rPr>
              <w:t>МОСВ</w:t>
            </w:r>
          </w:p>
          <w:p w:rsidR="00A1205A" w:rsidRDefault="009E0DC1">
            <w:pPr>
              <w:rPr>
                <w:sz w:val="16"/>
              </w:rPr>
            </w:pPr>
            <w:r>
              <w:rPr>
                <w:sz w:val="16"/>
              </w:rPr>
              <w:t>МРР</w:t>
            </w:r>
          </w:p>
          <w:p w:rsidR="00A1205A" w:rsidRDefault="009E0DC1">
            <w:pPr>
              <w:rPr>
                <w:sz w:val="16"/>
              </w:rPr>
            </w:pPr>
            <w:r>
              <w:rPr>
                <w:sz w:val="16"/>
              </w:rPr>
              <w:t>МЗХ</w:t>
            </w:r>
          </w:p>
          <w:p w:rsidR="00A1205A" w:rsidRDefault="00A1205A">
            <w:pPr>
              <w:rPr>
                <w:sz w:val="16"/>
              </w:rPr>
            </w:pP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Доклад за изпълнение на условие ТПУ 5.1/3.1 е изпратен до ЕК през SFC на дата 09.05.2017 г.</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P3.1</w:t>
            </w:r>
          </w:p>
        </w:tc>
        <w:tc>
          <w:tcPr>
            <w:tcW w:w="750" w:type="pct"/>
            <w:shd w:val="clear" w:color="auto" w:fill="FFFFFF"/>
            <w:tcMar>
              <w:top w:w="20" w:type="dxa"/>
              <w:left w:w="20" w:type="dxa"/>
              <w:bottom w:w="20" w:type="dxa"/>
            </w:tcMar>
            <w:vAlign w:val="center"/>
          </w:tcPr>
          <w:p w:rsidR="00A1205A" w:rsidRDefault="009E0DC1">
            <w:pPr>
              <w:rPr>
                <w:sz w:val="16"/>
              </w:rPr>
            </w:pPr>
            <w:r>
              <w:rPr>
                <w:sz w:val="16"/>
              </w:rPr>
              <w:t>P3.1.b</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Описание на сценарии с един риск и множество рискове - в оценката на риска, изготвяна съгласно чл. 4, ал. 1 от Наредбата</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31/12/2016</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МВР</w:t>
            </w:r>
          </w:p>
          <w:p w:rsidR="00A1205A" w:rsidRDefault="009E0DC1">
            <w:pPr>
              <w:rPr>
                <w:sz w:val="16"/>
              </w:rPr>
            </w:pPr>
            <w:r>
              <w:rPr>
                <w:sz w:val="16"/>
              </w:rPr>
              <w:t>МОСВ</w:t>
            </w:r>
          </w:p>
          <w:p w:rsidR="00A1205A" w:rsidRDefault="009E0DC1">
            <w:pPr>
              <w:rPr>
                <w:sz w:val="16"/>
              </w:rPr>
            </w:pPr>
            <w:r>
              <w:rPr>
                <w:sz w:val="16"/>
              </w:rPr>
              <w:t>МРР</w:t>
            </w:r>
          </w:p>
          <w:p w:rsidR="00A1205A" w:rsidRDefault="009E0DC1">
            <w:pPr>
              <w:rPr>
                <w:sz w:val="16"/>
              </w:rPr>
            </w:pPr>
            <w:r>
              <w:rPr>
                <w:sz w:val="16"/>
              </w:rPr>
              <w:t>МЗХ</w:t>
            </w:r>
          </w:p>
          <w:p w:rsidR="00A1205A" w:rsidRDefault="00A1205A">
            <w:pPr>
              <w:rPr>
                <w:sz w:val="16"/>
              </w:rPr>
            </w:pP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P3.1</w:t>
            </w:r>
          </w:p>
        </w:tc>
        <w:tc>
          <w:tcPr>
            <w:tcW w:w="750" w:type="pct"/>
            <w:shd w:val="clear" w:color="auto" w:fill="FFFFFF"/>
            <w:tcMar>
              <w:top w:w="20" w:type="dxa"/>
              <w:left w:w="20" w:type="dxa"/>
              <w:bottom w:w="20" w:type="dxa"/>
            </w:tcMar>
            <w:vAlign w:val="center"/>
          </w:tcPr>
          <w:p w:rsidR="00A1205A" w:rsidRDefault="009E0DC1">
            <w:pPr>
              <w:rPr>
                <w:sz w:val="16"/>
              </w:rPr>
            </w:pPr>
            <w:r>
              <w:rPr>
                <w:sz w:val="16"/>
              </w:rPr>
              <w:t>P3.1.c</w:t>
            </w:r>
          </w:p>
        </w:tc>
        <w:tc>
          <w:tcPr>
            <w:tcW w:w="750" w:type="pct"/>
            <w:shd w:val="clear" w:color="auto" w:fill="FFFFFF"/>
            <w:tcMar>
              <w:top w:w="20" w:type="dxa"/>
              <w:left w:w="20" w:type="dxa"/>
              <w:bottom w:w="20" w:type="dxa"/>
            </w:tcMar>
            <w:vAlign w:val="center"/>
          </w:tcPr>
          <w:p w:rsidR="00A1205A" w:rsidRDefault="009E0DC1">
            <w:pPr>
              <w:spacing w:before="0" w:after="150"/>
              <w:ind w:left="34"/>
              <w:jc w:val="left"/>
              <w:rPr>
                <w:sz w:val="15"/>
                <w:szCs w:val="15"/>
              </w:rPr>
            </w:pPr>
            <w:r>
              <w:rPr>
                <w:sz w:val="15"/>
                <w:szCs w:val="15"/>
              </w:rPr>
              <w:t>Действие 1. Приемане на планове за управление на риска от наводнения, включително национален каталог от мерки и национални приоритети за управление на риска от наводнения.</w:t>
            </w:r>
          </w:p>
          <w:p w:rsidR="00A1205A" w:rsidRDefault="009E0DC1">
            <w:pPr>
              <w:spacing w:before="150" w:after="150"/>
              <w:ind w:left="317"/>
              <w:jc w:val="left"/>
              <w:rPr>
                <w:sz w:val="15"/>
                <w:szCs w:val="15"/>
              </w:rPr>
            </w:pPr>
            <w:r>
              <w:rPr>
                <w:sz w:val="15"/>
                <w:szCs w:val="15"/>
              </w:rPr>
              <w:t>Междинни стъпки:</w:t>
            </w:r>
          </w:p>
          <w:p w:rsidR="00A1205A" w:rsidRDefault="009E0DC1">
            <w:pPr>
              <w:spacing w:before="150" w:after="150"/>
              <w:ind w:left="29"/>
              <w:jc w:val="left"/>
              <w:rPr>
                <w:sz w:val="15"/>
                <w:szCs w:val="15"/>
              </w:rPr>
            </w:pPr>
            <w:r>
              <w:rPr>
                <w:sz w:val="15"/>
                <w:szCs w:val="15"/>
              </w:rPr>
              <w:t>•             Оценка на риска от наводнения, извършена на ниво район за басейново управление.</w:t>
            </w:r>
          </w:p>
          <w:p w:rsidR="00A1205A" w:rsidRDefault="009E0DC1">
            <w:pPr>
              <w:spacing w:before="150" w:after="150"/>
              <w:ind w:left="29"/>
              <w:jc w:val="left"/>
              <w:rPr>
                <w:sz w:val="15"/>
                <w:szCs w:val="15"/>
              </w:rPr>
            </w:pPr>
            <w:r>
              <w:rPr>
                <w:sz w:val="15"/>
                <w:szCs w:val="15"/>
              </w:rPr>
              <w:t> </w:t>
            </w:r>
          </w:p>
          <w:p w:rsidR="00A1205A" w:rsidRDefault="009E0DC1">
            <w:pPr>
              <w:spacing w:before="150" w:after="150"/>
              <w:ind w:left="29"/>
              <w:jc w:val="left"/>
              <w:rPr>
                <w:sz w:val="15"/>
                <w:szCs w:val="15"/>
              </w:rPr>
            </w:pPr>
            <w:r>
              <w:rPr>
                <w:sz w:val="15"/>
                <w:szCs w:val="15"/>
              </w:rPr>
              <w:t>• Разработване на методика за анализ на разходите и ползите за целите на оценка мерките в планове за управление на риска от наводнения – 2015 г.</w:t>
            </w:r>
          </w:p>
          <w:p w:rsidR="00A1205A" w:rsidRDefault="009E0DC1">
            <w:pPr>
              <w:spacing w:before="150" w:after="150"/>
              <w:ind w:left="29"/>
              <w:jc w:val="left"/>
              <w:rPr>
                <w:sz w:val="15"/>
                <w:szCs w:val="15"/>
              </w:rPr>
            </w:pPr>
            <w:r>
              <w:rPr>
                <w:sz w:val="15"/>
                <w:szCs w:val="15"/>
              </w:rPr>
              <w:t>• Определяне на целите и приоритетите за всеки РБУ, съгласуване с ПУРБ и разработване на проект на ПУРН – 2015 г.</w:t>
            </w:r>
          </w:p>
          <w:p w:rsidR="00A1205A" w:rsidRDefault="009E0DC1">
            <w:pPr>
              <w:spacing w:before="150" w:after="150"/>
              <w:ind w:left="29"/>
              <w:jc w:val="left"/>
              <w:rPr>
                <w:sz w:val="15"/>
                <w:szCs w:val="15"/>
              </w:rPr>
            </w:pPr>
            <w:r>
              <w:rPr>
                <w:sz w:val="15"/>
                <w:szCs w:val="15"/>
              </w:rPr>
              <w:t>• Проект на програма от мерки за всеки РБУ – 2015 г.</w:t>
            </w:r>
          </w:p>
          <w:p w:rsidR="00A1205A" w:rsidRDefault="009E0DC1">
            <w:pPr>
              <w:spacing w:before="150" w:after="150"/>
              <w:jc w:val="left"/>
              <w:rPr>
                <w:sz w:val="15"/>
                <w:szCs w:val="15"/>
              </w:rPr>
            </w:pPr>
            <w:r>
              <w:rPr>
                <w:sz w:val="15"/>
                <w:szCs w:val="15"/>
              </w:rPr>
              <w:t>• Екологична оценка на ПУРН – 2015 г. Междинни стъпки: МВР координира разработването на оценките и картографирането на рисковете. Осъществява се редовна комуникация със съответните компетентни органи и се организират работни срещи за осигуряване на своевременното изпълнение на ангажиментите.</w:t>
            </w:r>
          </w:p>
          <w:p w:rsidR="00A1205A" w:rsidRDefault="009E0DC1">
            <w:pPr>
              <w:spacing w:before="150" w:after="150"/>
              <w:jc w:val="left"/>
              <w:rPr>
                <w:sz w:val="15"/>
                <w:szCs w:val="15"/>
              </w:rPr>
            </w:pPr>
            <w:r>
              <w:rPr>
                <w:sz w:val="15"/>
                <w:szCs w:val="15"/>
              </w:rPr>
              <w:t>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31/12/2015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МВР</w:t>
            </w:r>
          </w:p>
          <w:p w:rsidR="00A1205A" w:rsidRDefault="009E0DC1">
            <w:pPr>
              <w:rPr>
                <w:sz w:val="16"/>
              </w:rPr>
            </w:pPr>
            <w:r>
              <w:rPr>
                <w:sz w:val="16"/>
              </w:rPr>
              <w:t>МОСВ</w:t>
            </w:r>
          </w:p>
          <w:p w:rsidR="00A1205A" w:rsidRDefault="009E0DC1">
            <w:pPr>
              <w:rPr>
                <w:sz w:val="16"/>
              </w:rPr>
            </w:pPr>
            <w:r>
              <w:rPr>
                <w:sz w:val="16"/>
              </w:rPr>
              <w:t>МРР</w:t>
            </w:r>
          </w:p>
          <w:p w:rsidR="00A1205A" w:rsidRDefault="009E0DC1">
            <w:pPr>
              <w:rPr>
                <w:sz w:val="16"/>
              </w:rPr>
            </w:pPr>
            <w:r>
              <w:rPr>
                <w:sz w:val="16"/>
              </w:rPr>
              <w:t>МЗХ</w:t>
            </w:r>
          </w:p>
          <w:p w:rsidR="00A1205A" w:rsidRDefault="00A1205A">
            <w:pPr>
              <w:rPr>
                <w:sz w:val="16"/>
              </w:rPr>
            </w:pP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P5.2</w:t>
            </w:r>
          </w:p>
        </w:tc>
        <w:tc>
          <w:tcPr>
            <w:tcW w:w="750" w:type="pct"/>
            <w:shd w:val="clear" w:color="auto" w:fill="FFFFFF"/>
            <w:tcMar>
              <w:top w:w="20" w:type="dxa"/>
              <w:left w:w="20" w:type="dxa"/>
              <w:bottom w:w="20" w:type="dxa"/>
            </w:tcMar>
            <w:vAlign w:val="center"/>
          </w:tcPr>
          <w:p w:rsidR="00A1205A" w:rsidRDefault="009E0DC1">
            <w:pPr>
              <w:rPr>
                <w:sz w:val="16"/>
              </w:rPr>
            </w:pPr>
            <w:r>
              <w:rPr>
                <w:sz w:val="16"/>
              </w:rPr>
              <w:t>P5.2.a</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За допълнителна информация Виж приложение 1</w:t>
            </w:r>
          </w:p>
          <w:p w:rsidR="00A1205A" w:rsidRDefault="009E0DC1">
            <w:pPr>
              <w:spacing w:before="15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Разработване на Анализ за възстановяването на разходите</w:t>
            </w:r>
          </w:p>
          <w:p w:rsidR="00A1205A" w:rsidRDefault="009E0DC1">
            <w:pPr>
              <w:spacing w:before="150" w:after="150"/>
              <w:jc w:val="left"/>
              <w:rPr>
                <w:sz w:val="15"/>
                <w:szCs w:val="15"/>
              </w:rPr>
            </w:pPr>
            <w:r>
              <w:rPr>
                <w:sz w:val="15"/>
                <w:szCs w:val="15"/>
              </w:rPr>
              <w:t>  Действие 2.</w:t>
            </w:r>
          </w:p>
          <w:p w:rsidR="00A1205A" w:rsidRDefault="009E0DC1">
            <w:pPr>
              <w:spacing w:before="150" w:after="150"/>
              <w:jc w:val="left"/>
              <w:rPr>
                <w:sz w:val="15"/>
                <w:szCs w:val="15"/>
              </w:rPr>
            </w:pPr>
            <w:r>
              <w:rPr>
                <w:sz w:val="15"/>
                <w:szCs w:val="15"/>
              </w:rPr>
              <w:t>Приемане на ЗИД на ЗВ за определяне на таксата за замърсяване.</w:t>
            </w:r>
          </w:p>
          <w:p w:rsidR="00A1205A" w:rsidRDefault="009E0DC1">
            <w:pPr>
              <w:spacing w:before="150" w:after="150"/>
              <w:jc w:val="left"/>
              <w:rPr>
                <w:sz w:val="15"/>
                <w:szCs w:val="15"/>
              </w:rPr>
            </w:pPr>
            <w:r>
              <w:rPr>
                <w:sz w:val="15"/>
                <w:szCs w:val="15"/>
              </w:rPr>
              <w:t> Действие 3.</w:t>
            </w:r>
          </w:p>
          <w:p w:rsidR="00A1205A" w:rsidRDefault="009E0DC1">
            <w:pPr>
              <w:spacing w:before="150" w:after="150"/>
              <w:jc w:val="left"/>
              <w:rPr>
                <w:sz w:val="15"/>
                <w:szCs w:val="15"/>
              </w:rPr>
            </w:pPr>
            <w:r>
              <w:rPr>
                <w:sz w:val="15"/>
                <w:szCs w:val="15"/>
              </w:rPr>
              <w:t>Изменение на Тарифата за таксите за водовземане</w:t>
            </w:r>
          </w:p>
          <w:p w:rsidR="00A1205A" w:rsidRDefault="009E0DC1">
            <w:pPr>
              <w:spacing w:before="150" w:after="150"/>
              <w:jc w:val="left"/>
              <w:rPr>
                <w:sz w:val="15"/>
                <w:szCs w:val="15"/>
              </w:rPr>
            </w:pPr>
            <w:r>
              <w:rPr>
                <w:sz w:val="15"/>
                <w:szCs w:val="15"/>
              </w:rPr>
              <w:t> Действие 4.</w:t>
            </w:r>
          </w:p>
          <w:p w:rsidR="00A1205A" w:rsidRDefault="009E0DC1">
            <w:pPr>
              <w:spacing w:before="150" w:after="150"/>
              <w:jc w:val="left"/>
              <w:rPr>
                <w:sz w:val="15"/>
                <w:szCs w:val="15"/>
              </w:rPr>
            </w:pPr>
            <w:r>
              <w:rPr>
                <w:sz w:val="15"/>
                <w:szCs w:val="15"/>
              </w:rPr>
              <w:t>Приемане на Наредба за нормите за водопотребление</w:t>
            </w:r>
          </w:p>
          <w:p w:rsidR="00A1205A" w:rsidRDefault="009E0DC1">
            <w:pPr>
              <w:spacing w:before="150" w:after="150"/>
              <w:jc w:val="left"/>
              <w:rPr>
                <w:sz w:val="15"/>
                <w:szCs w:val="15"/>
              </w:rPr>
            </w:pPr>
            <w:r>
              <w:rPr>
                <w:sz w:val="15"/>
                <w:szCs w:val="15"/>
              </w:rPr>
              <w:lastRenderedPageBreak/>
              <w:t> Действие 5.</w:t>
            </w:r>
          </w:p>
          <w:p w:rsidR="00A1205A" w:rsidRDefault="009E0DC1">
            <w:pPr>
              <w:spacing w:before="150" w:after="150"/>
              <w:jc w:val="left"/>
              <w:rPr>
                <w:sz w:val="15"/>
                <w:szCs w:val="15"/>
              </w:rPr>
            </w:pPr>
            <w:r>
              <w:rPr>
                <w:sz w:val="15"/>
                <w:szCs w:val="15"/>
              </w:rPr>
              <w:t>Въвеждане на различни цени на услугата водоснабдяване</w:t>
            </w:r>
          </w:p>
          <w:p w:rsidR="00A1205A" w:rsidRDefault="009E0DC1">
            <w:pPr>
              <w:spacing w:before="150" w:after="150"/>
              <w:jc w:val="left"/>
              <w:rPr>
                <w:sz w:val="15"/>
                <w:szCs w:val="15"/>
              </w:rPr>
            </w:pPr>
            <w:r>
              <w:rPr>
                <w:sz w:val="15"/>
                <w:szCs w:val="15"/>
              </w:rPr>
              <w:t> Действие 6.</w:t>
            </w:r>
          </w:p>
          <w:p w:rsidR="00A1205A" w:rsidRDefault="009E0DC1">
            <w:pPr>
              <w:spacing w:before="150" w:after="150"/>
              <w:jc w:val="left"/>
              <w:rPr>
                <w:sz w:val="15"/>
                <w:szCs w:val="15"/>
              </w:rPr>
            </w:pPr>
            <w:r>
              <w:rPr>
                <w:sz w:val="15"/>
                <w:szCs w:val="15"/>
              </w:rPr>
              <w:t>Национално проучване за изменение на климата и въздействието му върху водите</w:t>
            </w:r>
          </w:p>
          <w:p w:rsidR="00A1205A" w:rsidRDefault="009E0DC1">
            <w:pPr>
              <w:spacing w:before="150" w:after="150"/>
              <w:jc w:val="left"/>
              <w:rPr>
                <w:sz w:val="15"/>
                <w:szCs w:val="15"/>
              </w:rPr>
            </w:pPr>
            <w:r>
              <w:rPr>
                <w:sz w:val="15"/>
                <w:szCs w:val="15"/>
              </w:rPr>
              <w:t> Действие 7.</w:t>
            </w:r>
          </w:p>
          <w:p w:rsidR="00A1205A" w:rsidRDefault="009E0DC1">
            <w:pPr>
              <w:spacing w:before="150" w:after="150"/>
              <w:jc w:val="left"/>
              <w:rPr>
                <w:sz w:val="15"/>
                <w:szCs w:val="15"/>
              </w:rPr>
            </w:pPr>
            <w:r>
              <w:rPr>
                <w:sz w:val="15"/>
                <w:szCs w:val="15"/>
              </w:rPr>
              <w:t>Икономически анализ на водоползването във вторите ПУРБ</w:t>
            </w:r>
          </w:p>
          <w:p w:rsidR="00A1205A" w:rsidRDefault="009E0DC1">
            <w:pPr>
              <w:spacing w:before="150" w:after="150"/>
              <w:jc w:val="left"/>
              <w:rPr>
                <w:sz w:val="15"/>
                <w:szCs w:val="15"/>
              </w:rPr>
            </w:pPr>
            <w:r>
              <w:rPr>
                <w:sz w:val="15"/>
                <w:szCs w:val="15"/>
              </w:rPr>
              <w:t> Действие 8.</w:t>
            </w:r>
          </w:p>
          <w:p w:rsidR="00A1205A" w:rsidRDefault="009E0DC1">
            <w:pPr>
              <w:spacing w:before="150" w:after="150"/>
              <w:jc w:val="left"/>
              <w:rPr>
                <w:sz w:val="15"/>
                <w:szCs w:val="15"/>
              </w:rPr>
            </w:pPr>
            <w:r>
              <w:rPr>
                <w:sz w:val="15"/>
                <w:szCs w:val="15"/>
              </w:rPr>
              <w:t>Приемане на законодателни промени в регулаторната рамка в отрасъл ВиК</w:t>
            </w:r>
          </w:p>
          <w:p w:rsidR="00A1205A" w:rsidRDefault="009E0DC1">
            <w:pPr>
              <w:spacing w:before="150" w:after="150"/>
              <w:ind w:left="34"/>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b/>
                <w:bCs/>
                <w:sz w:val="15"/>
                <w:szCs w:val="15"/>
              </w:rPr>
              <w:t> Хидромелиорации:</w:t>
            </w:r>
          </w:p>
          <w:p w:rsidR="00A1205A" w:rsidRDefault="009E0DC1">
            <w:pPr>
              <w:spacing w:before="15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Разработване на ЗИД на Закон за сдружения за напояване, законова рамка за въвеждането на Методиката по действие 2</w:t>
            </w:r>
          </w:p>
          <w:p w:rsidR="00A1205A" w:rsidRDefault="009E0DC1">
            <w:pPr>
              <w:spacing w:before="150" w:after="150"/>
              <w:jc w:val="left"/>
              <w:rPr>
                <w:sz w:val="15"/>
                <w:szCs w:val="15"/>
              </w:rPr>
            </w:pPr>
            <w:r>
              <w:rPr>
                <w:sz w:val="15"/>
                <w:szCs w:val="15"/>
              </w:rPr>
              <w:t> Действие 2.</w:t>
            </w:r>
          </w:p>
          <w:p w:rsidR="00A1205A" w:rsidRDefault="009E0DC1">
            <w:pPr>
              <w:spacing w:before="150" w:after="150"/>
              <w:jc w:val="left"/>
              <w:rPr>
                <w:sz w:val="15"/>
                <w:szCs w:val="15"/>
              </w:rPr>
            </w:pPr>
            <w:r>
              <w:rPr>
                <w:sz w:val="15"/>
                <w:szCs w:val="15"/>
              </w:rPr>
              <w:t>Разработване на Методика за определяне на цената на услугата за водоподаване за напояване в резултат на Стратегията за хидромелиоративния сектор. В методиката ще бъдат отразени изискванията на  чл.9, пар.1, първо тире от Рамковата директива за водите.</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sz w:val="15"/>
                <w:szCs w:val="15"/>
              </w:rPr>
              <w:t>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31/12/2015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МОСВ, МЗХ, ДКЕВР, МРР</w:t>
            </w:r>
          </w:p>
        </w:tc>
        <w:tc>
          <w:tcPr>
            <w:tcW w:w="750" w:type="pct"/>
            <w:shd w:val="clear" w:color="auto" w:fill="FFFFFF"/>
            <w:tcMar>
              <w:top w:w="20" w:type="dxa"/>
              <w:left w:w="20" w:type="dxa"/>
              <w:bottom w:w="20" w:type="dxa"/>
            </w:tcMar>
            <w:vAlign w:val="center"/>
          </w:tcPr>
          <w:p w:rsidR="00A1205A" w:rsidRDefault="009E0DC1">
            <w:pPr>
              <w:rPr>
                <w:sz w:val="16"/>
              </w:rPr>
            </w:pPr>
            <w:r>
              <w:rPr>
                <w:sz w:val="16"/>
              </w:rPr>
              <w:t xml:space="preserve">Изготвен е доклад за изпълнение на условие ТПУ 6.1/5.2 към дата 20.02.2017 г. и е в процедура на съгласуване със службите на ЕК. Предоставена и допълнителна информация на 21.06.2017 </w:t>
            </w:r>
            <w:r>
              <w:rPr>
                <w:sz w:val="16"/>
              </w:rPr>
              <w:lastRenderedPageBreak/>
              <w:t>г.</w:t>
            </w:r>
          </w:p>
          <w:p w:rsidR="00A1205A" w:rsidRDefault="009E0DC1">
            <w:pPr>
              <w:rPr>
                <w:sz w:val="16"/>
              </w:rPr>
            </w:pPr>
            <w:r>
              <w:rPr>
                <w:sz w:val="16"/>
              </w:rPr>
              <w:t>Доклад за изпълнение на условие ТПУ 6.1/5.2 е изпратен до ЕК през SFC на 29.06.2017 г.</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P6.1</w:t>
            </w:r>
          </w:p>
        </w:tc>
        <w:tc>
          <w:tcPr>
            <w:tcW w:w="750" w:type="pct"/>
            <w:shd w:val="clear" w:color="auto" w:fill="FFFFFF"/>
            <w:tcMar>
              <w:top w:w="20" w:type="dxa"/>
              <w:left w:w="20" w:type="dxa"/>
              <w:bottom w:w="20" w:type="dxa"/>
            </w:tcMar>
            <w:vAlign w:val="center"/>
          </w:tcPr>
          <w:p w:rsidR="00A1205A" w:rsidRDefault="009E0DC1">
            <w:pPr>
              <w:rPr>
                <w:sz w:val="16"/>
              </w:rPr>
            </w:pPr>
            <w:r>
              <w:rPr>
                <w:sz w:val="16"/>
              </w:rPr>
              <w:t>P6.1.a</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240" w:after="240"/>
              <w:jc w:val="left"/>
              <w:rPr>
                <w:szCs w:val="24"/>
              </w:rPr>
            </w:pPr>
            <w:r>
              <w:rPr>
                <w:sz w:val="15"/>
                <w:szCs w:val="15"/>
              </w:rPr>
              <w:t>Изменение на Националния план за инфраструктура от следващо поколение, с оглед конкретизиране на областите на интервенция и достъ</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30/09/2015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МТИТС, ЕСМИС, МЗХ</w:t>
            </w:r>
          </w:p>
        </w:tc>
        <w:tc>
          <w:tcPr>
            <w:tcW w:w="750" w:type="pct"/>
            <w:shd w:val="clear" w:color="auto" w:fill="FFFFFF"/>
            <w:tcMar>
              <w:top w:w="20" w:type="dxa"/>
              <w:left w:w="20" w:type="dxa"/>
              <w:bottom w:w="20" w:type="dxa"/>
            </w:tcMar>
            <w:vAlign w:val="center"/>
          </w:tcPr>
          <w:p w:rsidR="00A1205A" w:rsidRDefault="009E0DC1">
            <w:pPr>
              <w:rPr>
                <w:sz w:val="16"/>
              </w:rPr>
            </w:pPr>
            <w:r>
              <w:rPr>
                <w:sz w:val="16"/>
              </w:rPr>
              <w:t xml:space="preserve">Доклад за изпълнение на условие ТПУ 2.2/6.1 официално изпратено през SFC и е одобрен от ЕК с писмо от дата </w:t>
            </w:r>
            <w:r>
              <w:rPr>
                <w:sz w:val="16"/>
              </w:rPr>
              <w:lastRenderedPageBreak/>
              <w:t>11.10.2016 г.</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lastRenderedPageBreak/>
              <w:t>P6.1</w:t>
            </w:r>
          </w:p>
        </w:tc>
        <w:tc>
          <w:tcPr>
            <w:tcW w:w="750" w:type="pct"/>
            <w:shd w:val="clear" w:color="auto" w:fill="FFFFFF"/>
            <w:tcMar>
              <w:top w:w="20" w:type="dxa"/>
              <w:left w:w="20" w:type="dxa"/>
              <w:bottom w:w="20" w:type="dxa"/>
            </w:tcMar>
            <w:vAlign w:val="center"/>
          </w:tcPr>
          <w:p w:rsidR="00A1205A" w:rsidRDefault="009E0DC1">
            <w:pPr>
              <w:rPr>
                <w:sz w:val="16"/>
              </w:rPr>
            </w:pPr>
            <w:r>
              <w:rPr>
                <w:sz w:val="16"/>
              </w:rPr>
              <w:t>P6.1.b</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Изменение на Националния план за инфраструктура от следващо поколение с оглед определяне на инвестиционните модели, които ще се прилагат. </w:t>
            </w:r>
          </w:p>
          <w:p w:rsidR="00A1205A" w:rsidRDefault="009E0DC1">
            <w:pPr>
              <w:spacing w:before="150" w:after="150"/>
              <w:jc w:val="left"/>
              <w:rPr>
                <w:sz w:val="15"/>
                <w:szCs w:val="15"/>
              </w:rPr>
            </w:pPr>
            <w:r>
              <w:rPr>
                <w:b/>
                <w:bCs/>
                <w:sz w:val="15"/>
                <w:szCs w:val="15"/>
              </w:rPr>
              <w:t>Подробен план за действие по ПРСР е в Приложение.</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30/09/2015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МТИТС, ЕСМИС, МЗХ</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r w:rsidR="00A1205A">
        <w:tc>
          <w:tcPr>
            <w:tcW w:w="750" w:type="pct"/>
            <w:shd w:val="clear" w:color="auto" w:fill="FFFFFF"/>
            <w:tcMar>
              <w:top w:w="20" w:type="dxa"/>
              <w:left w:w="20" w:type="dxa"/>
              <w:bottom w:w="20" w:type="dxa"/>
            </w:tcMar>
            <w:vAlign w:val="center"/>
          </w:tcPr>
          <w:p w:rsidR="00A1205A" w:rsidRDefault="009E0DC1">
            <w:pPr>
              <w:rPr>
                <w:sz w:val="16"/>
              </w:rPr>
            </w:pPr>
            <w:r>
              <w:rPr>
                <w:sz w:val="16"/>
              </w:rPr>
              <w:t>P6.1</w:t>
            </w:r>
          </w:p>
        </w:tc>
        <w:tc>
          <w:tcPr>
            <w:tcW w:w="750" w:type="pct"/>
            <w:shd w:val="clear" w:color="auto" w:fill="FFFFFF"/>
            <w:tcMar>
              <w:top w:w="20" w:type="dxa"/>
              <w:left w:w="20" w:type="dxa"/>
              <w:bottom w:w="20" w:type="dxa"/>
            </w:tcMar>
            <w:vAlign w:val="center"/>
          </w:tcPr>
          <w:p w:rsidR="00A1205A" w:rsidRDefault="009E0DC1">
            <w:pPr>
              <w:rPr>
                <w:sz w:val="16"/>
              </w:rPr>
            </w:pPr>
            <w:r>
              <w:rPr>
                <w:sz w:val="16"/>
              </w:rPr>
              <w:t>P6.1.c</w:t>
            </w:r>
          </w:p>
        </w:tc>
        <w:tc>
          <w:tcPr>
            <w:tcW w:w="750" w:type="pct"/>
            <w:shd w:val="clear" w:color="auto" w:fill="FFFFFF"/>
            <w:tcMar>
              <w:top w:w="20" w:type="dxa"/>
              <w:left w:w="20" w:type="dxa"/>
              <w:bottom w:w="20" w:type="dxa"/>
            </w:tcMar>
            <w:vAlign w:val="center"/>
          </w:tcPr>
          <w:p w:rsidR="00A1205A" w:rsidRDefault="009E0DC1">
            <w:pPr>
              <w:spacing w:before="0" w:after="150"/>
              <w:jc w:val="left"/>
              <w:rPr>
                <w:sz w:val="15"/>
                <w:szCs w:val="15"/>
              </w:rPr>
            </w:pPr>
            <w:r>
              <w:rPr>
                <w:sz w:val="15"/>
                <w:szCs w:val="15"/>
              </w:rPr>
              <w:t>Действие 1</w:t>
            </w:r>
          </w:p>
          <w:p w:rsidR="00A1205A" w:rsidRDefault="009E0DC1">
            <w:pPr>
              <w:spacing w:before="150" w:after="150"/>
              <w:jc w:val="left"/>
              <w:rPr>
                <w:sz w:val="15"/>
                <w:szCs w:val="15"/>
              </w:rPr>
            </w:pPr>
            <w:r>
              <w:rPr>
                <w:sz w:val="15"/>
                <w:szCs w:val="15"/>
              </w:rPr>
              <w:t>Приемане на Актуализирана политика в областта на електронните съобщения на Република България 2015-2018 г., насочена към стимулиране на инвестициите;</w:t>
            </w:r>
          </w:p>
          <w:p w:rsidR="00A1205A" w:rsidRDefault="009E0DC1">
            <w:pPr>
              <w:spacing w:before="150" w:after="150"/>
              <w:jc w:val="left"/>
              <w:rPr>
                <w:sz w:val="15"/>
                <w:szCs w:val="15"/>
              </w:rPr>
            </w:pPr>
            <w:r>
              <w:rPr>
                <w:sz w:val="15"/>
                <w:szCs w:val="15"/>
              </w:rPr>
              <w:t>Действие 2.</w:t>
            </w:r>
          </w:p>
          <w:p w:rsidR="00A1205A" w:rsidRDefault="009E0DC1">
            <w:pPr>
              <w:spacing w:before="150" w:after="150"/>
              <w:jc w:val="left"/>
              <w:rPr>
                <w:sz w:val="15"/>
                <w:szCs w:val="15"/>
              </w:rPr>
            </w:pPr>
            <w:r>
              <w:rPr>
                <w:sz w:val="15"/>
                <w:szCs w:val="15"/>
              </w:rPr>
              <w:t>Свободен радио-честотния спектър с цел развитие на безжични широколентови услуги като регулатора периодично проверява интереса от страна на бизнеса.</w:t>
            </w:r>
          </w:p>
          <w:p w:rsidR="00A1205A" w:rsidRDefault="009E0DC1">
            <w:pPr>
              <w:spacing w:before="150" w:after="150"/>
              <w:jc w:val="left"/>
              <w:rPr>
                <w:sz w:val="15"/>
                <w:szCs w:val="15"/>
              </w:rPr>
            </w:pPr>
            <w:r>
              <w:rPr>
                <w:sz w:val="15"/>
                <w:szCs w:val="15"/>
              </w:rPr>
              <w:t>https://www.mtitc.government.bg/page.php?category=466&amp;id=7725</w:t>
            </w:r>
          </w:p>
          <w:p w:rsidR="00A1205A" w:rsidRDefault="009E0DC1">
            <w:pPr>
              <w:spacing w:before="150" w:after="150"/>
              <w:jc w:val="left"/>
              <w:rPr>
                <w:sz w:val="15"/>
                <w:szCs w:val="15"/>
              </w:rPr>
            </w:pPr>
            <w:r>
              <w:rPr>
                <w:sz w:val="15"/>
                <w:szCs w:val="15"/>
              </w:rPr>
              <w:t> </w:t>
            </w:r>
          </w:p>
          <w:p w:rsidR="00A1205A" w:rsidRDefault="009E0DC1">
            <w:pPr>
              <w:spacing w:before="150" w:after="150"/>
              <w:jc w:val="left"/>
              <w:rPr>
                <w:sz w:val="15"/>
                <w:szCs w:val="15"/>
              </w:rPr>
            </w:pPr>
            <w:r>
              <w:rPr>
                <w:b/>
                <w:bCs/>
                <w:sz w:val="15"/>
                <w:szCs w:val="15"/>
              </w:rPr>
              <w:t>Подробен план за действие по ПРСР е в Приложение.</w:t>
            </w:r>
          </w:p>
          <w:p w:rsidR="00A1205A" w:rsidRDefault="009E0DC1">
            <w:pPr>
              <w:spacing w:before="150" w:after="150"/>
              <w:jc w:val="left"/>
              <w:rPr>
                <w:sz w:val="15"/>
                <w:szCs w:val="15"/>
              </w:rPr>
            </w:pPr>
            <w:r>
              <w:rPr>
                <w:sz w:val="15"/>
                <w:szCs w:val="15"/>
              </w:rPr>
              <w:t> </w:t>
            </w:r>
          </w:p>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9E0DC1">
            <w:pPr>
              <w:rPr>
                <w:sz w:val="16"/>
              </w:rPr>
            </w:pPr>
            <w:r>
              <w:rPr>
                <w:sz w:val="16"/>
              </w:rPr>
              <w:t>30/09/2015</w:t>
            </w:r>
          </w:p>
        </w:tc>
        <w:tc>
          <w:tcPr>
            <w:tcW w:w="750" w:type="pct"/>
            <w:shd w:val="clear" w:color="auto" w:fill="FFFFFF"/>
            <w:tcMar>
              <w:top w:w="20" w:type="dxa"/>
              <w:left w:w="20" w:type="dxa"/>
              <w:bottom w:w="20" w:type="dxa"/>
            </w:tcMar>
            <w:vAlign w:val="center"/>
          </w:tcPr>
          <w:p w:rsidR="00A1205A" w:rsidRDefault="009E0DC1">
            <w:pPr>
              <w:rPr>
                <w:sz w:val="16"/>
              </w:rPr>
            </w:pPr>
            <w:r>
              <w:rPr>
                <w:sz w:val="16"/>
              </w:rPr>
              <w:t>МТИТС, ЕСМИС, МЗХ</w:t>
            </w: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c>
          <w:tcPr>
            <w:tcW w:w="750" w:type="pct"/>
            <w:shd w:val="clear" w:color="auto" w:fill="FFFFFF"/>
            <w:tcMar>
              <w:top w:w="20" w:type="dxa"/>
              <w:left w:w="20" w:type="dxa"/>
              <w:bottom w:w="20" w:type="dxa"/>
            </w:tcMar>
            <w:vAlign w:val="center"/>
          </w:tcPr>
          <w:p w:rsidR="00A1205A" w:rsidRDefault="00A1205A">
            <w:pPr>
              <w:rPr>
                <w:sz w:val="16"/>
              </w:rPr>
            </w:pPr>
          </w:p>
        </w:tc>
      </w:tr>
    </w:tbl>
    <w:p w:rsidR="00A1205A" w:rsidRDefault="00A1205A"/>
    <w:p w:rsidR="00A1205A" w:rsidRDefault="009E0DC1">
      <w:pPr>
        <w:pStyle w:val="Heading2"/>
      </w:pPr>
      <w:r>
        <w:br w:type="page"/>
      </w:r>
      <w:bookmarkStart w:id="29" w:name="_Toc256000028"/>
      <w:r>
        <w:lastRenderedPageBreak/>
        <w:t>(незадължително) допълнителна информация за допълване на информацията, предоставена в таблицата „Предприети действия“</w:t>
      </w:r>
      <w:bookmarkEnd w:id="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3134"/>
      </w:tblGrid>
      <w:tr w:rsidR="00A1205A">
        <w:tc>
          <w:tcPr>
            <w:tcW w:w="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A1205A">
      <w:pPr>
        <w:sectPr w:rsidR="00A1205A">
          <w:pgSz w:w="15840" w:h="12240" w:orient="landscape"/>
          <w:pgMar w:top="1417" w:right="1417" w:bottom="1417" w:left="1417" w:header="720" w:footer="720" w:gutter="0"/>
          <w:cols w:space="720"/>
        </w:sectPr>
      </w:pPr>
    </w:p>
    <w:p w:rsidR="00A1205A" w:rsidRDefault="009E0DC1">
      <w:pPr>
        <w:pStyle w:val="Heading1"/>
      </w:pPr>
      <w:bookmarkStart w:id="30" w:name="_Toc256000029"/>
      <w:r>
        <w:lastRenderedPageBreak/>
        <w:t>Описание на изпълнението на подпрограмите</w:t>
      </w:r>
      <w:bookmarkEnd w:id="3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В рамките на ПРСР 2014-2020 е разработена Тематична подпрограма за малки стопанства, като за тази цел е въведена дефиния относно стопанствата, които попадат в тази категория на територията на страната. Използваната дефиниция определя, че това са земеделски стопани, които имат икономически размер, измерен в стандартен производствен обем от 2 000 до 7 999 евро и са регистрация като земеделски стопани. Чрез прилагането на тази дефиниция от една страна е осигурена ясна демаркационна линия с подпомагането предоставяно по основната ПРСР  и от друга се предоставя целева възможност за насочване на подпомагането към малки стопанства с потенциал за развитие.</w:t>
            </w:r>
          </w:p>
          <w:p w:rsidR="00A1205A" w:rsidRDefault="009E0DC1">
            <w:pPr>
              <w:spacing w:before="240" w:after="240"/>
              <w:jc w:val="left"/>
              <w:rPr>
                <w:szCs w:val="24"/>
              </w:rPr>
            </w:pPr>
            <w:r>
              <w:rPr>
                <w:szCs w:val="24"/>
              </w:rPr>
              <w:t>Разработената Тематична подпрограма за развитие на малки земеделски стопанства в Република България - 2014-2020 включва прилагането на няколко оснсовни мерки - Консултантски услуги, услуги по управление и услуги по заместване в стопанство, Инвестиции в материални активи  и Развитие на стопанствата и предприятията  в съответствие с Регламент 1305/2013 г. Включените в тематимната подпрограма специфични мерки са: 2.1, 2.2, 4.1, 4.2, 4.4, 6.3 и 6.4.</w:t>
            </w:r>
          </w:p>
          <w:p w:rsidR="00A1205A" w:rsidRDefault="009E0DC1">
            <w:pPr>
              <w:spacing w:before="240" w:after="240"/>
              <w:jc w:val="left"/>
              <w:rPr>
                <w:szCs w:val="24"/>
              </w:rPr>
            </w:pPr>
            <w:r>
              <w:rPr>
                <w:szCs w:val="24"/>
              </w:rPr>
              <w:t>През 2016 г. са приложени само две от включените подмерки в ТПП, чрез които е осигурена възможност за получаване на безплатни консултански услуги предоставяни от страна на Националната служба за съвети в земеделието по подмярка 2.1 във връзка с кандидатстването по подмярка 6.3 за получаване на стартова помощ за развитието на малки стопанства.</w:t>
            </w:r>
          </w:p>
          <w:p w:rsidR="00A1205A" w:rsidRDefault="009E0DC1">
            <w:pPr>
              <w:spacing w:before="240" w:after="240"/>
              <w:jc w:val="left"/>
              <w:rPr>
                <w:szCs w:val="24"/>
              </w:rPr>
            </w:pPr>
            <w:r>
              <w:rPr>
                <w:szCs w:val="24"/>
              </w:rPr>
              <w:t>През годината не е стартирало прилагането на подмярка 4.1.2 свързана с подкрепа на инвестиционни дейности в малките стопанства въпреки традиционно високият интерес към този тип подпомагане. Планирането на подмярка 4.1.2 е предвидено за календарната 2017 г. и от гледна точка на разширеният и обхват с Първо измение на ПРСР 2014-2020 с включването в обхвата на допустимите кандидати и такива от сектор „животновъдство“, разположени в планински райони на страната.</w:t>
            </w:r>
          </w:p>
          <w:p w:rsidR="00A1205A" w:rsidRDefault="009E0DC1">
            <w:pPr>
              <w:spacing w:before="240" w:after="240"/>
              <w:jc w:val="left"/>
              <w:rPr>
                <w:szCs w:val="24"/>
              </w:rPr>
            </w:pPr>
            <w:r>
              <w:rPr>
                <w:szCs w:val="24"/>
              </w:rPr>
              <w:t>Както е посочено и в т.  „1.с“  през 2016 г. по подмярка 6.3 е изплатена финансова помощ на 3 малки стопанства /от над 3 800 подадени заявления/. В същото време по поети ангажименти по мярка 141 от ПРСР 2007-2013 са изплатени 3 598 заявки за плащане с изплатена финансова помощ в размер на 5,37 млн. евро, пето плащане са получили 1 763 полупазарни стопанства с изплатена финансова помощ в размер на 2,62 млн. евро.</w:t>
            </w:r>
          </w:p>
          <w:p w:rsidR="00A1205A" w:rsidRDefault="009E0DC1">
            <w:pPr>
              <w:spacing w:before="240" w:after="240"/>
              <w:jc w:val="left"/>
              <w:rPr>
                <w:szCs w:val="24"/>
              </w:rPr>
            </w:pPr>
            <w:r>
              <w:rPr>
                <w:szCs w:val="24"/>
              </w:rPr>
              <w:t>По данни на НССЗ от страна на малките земеделски стопани най – голям интерес е отчетен към пакет 5.1, който включва изготвяне на бизнес план и заявление за подпомагане по подмярка 6.3 „Стартова помощ за развитие на малки земеделски стопанства”. По тази дейност НССЗ е предоставила консултантски услуги на 2 860 малки земеделски стопани, като 2 824 от тях са подали изготвените документи и са заявили подпомагане по подмярка 6.3.</w:t>
            </w:r>
          </w:p>
          <w:p w:rsidR="00A1205A" w:rsidRDefault="009E0DC1">
            <w:pPr>
              <w:spacing w:before="240" w:after="240"/>
              <w:jc w:val="left"/>
              <w:rPr>
                <w:szCs w:val="24"/>
              </w:rPr>
            </w:pPr>
            <w:r>
              <w:rPr>
                <w:szCs w:val="24"/>
              </w:rPr>
              <w:t>На база данните от 2016 г. може да се отчете висок интерес от страна на малките стопани за подпомагане по Програмата, но не могат да бъдат отчетени конкретни резултати по отношение на постигнатите показатели поради наличието на сключени само три договора за подпомагане по подмярка 6.3.</w:t>
            </w:r>
          </w:p>
          <w:p w:rsidR="00A1205A" w:rsidRDefault="009E0DC1">
            <w:pPr>
              <w:spacing w:before="240" w:after="240"/>
              <w:jc w:val="left"/>
              <w:rPr>
                <w:szCs w:val="24"/>
              </w:rPr>
            </w:pPr>
            <w:r>
              <w:rPr>
                <w:szCs w:val="24"/>
              </w:rPr>
              <w:t xml:space="preserve">Като важен елемент от целенасочената подкрепа към малките стопанства през 2017 г. трябва да се акцентира върху сключването на договори по подадените заявления от приема от 2016 г. по подмярка 6.3, както и разширяване на възможностите за подпомагане със стартирането на подмярка 4.1.2, като по този начин ще бъде осигурена допълняемост между отделните подмерки. Важен елемент от прилагането на ТПП е и навременното предоставяне на качествени консултантски </w:t>
            </w:r>
            <w:r>
              <w:rPr>
                <w:szCs w:val="24"/>
              </w:rPr>
              <w:lastRenderedPageBreak/>
              <w:t>услуги, с цел облекачаване на процеса по кандидастване и управление на стопанствата.</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Подмярка 2.1.2. „Консултантски услуги за малки земеделски стопанства”</w:t>
            </w:r>
          </w:p>
          <w:p w:rsidR="00A1205A" w:rsidRDefault="009E0DC1">
            <w:pPr>
              <w:spacing w:before="240" w:after="240"/>
              <w:jc w:val="left"/>
              <w:rPr>
                <w:szCs w:val="24"/>
              </w:rPr>
            </w:pPr>
            <w:r>
              <w:rPr>
                <w:szCs w:val="24"/>
              </w:rPr>
              <w:t>Прилагането на подмярката стартира през 2016 г., като от страна на Управляващият орган е приложен идентичен подход, както и през 2015 г. при предоставянето на консултантски услуги за млади земеделски стопани.</w:t>
            </w:r>
          </w:p>
          <w:p w:rsidR="00A1205A" w:rsidRDefault="009E0DC1">
            <w:pPr>
              <w:spacing w:before="240" w:after="240"/>
              <w:jc w:val="left"/>
              <w:rPr>
                <w:szCs w:val="24"/>
              </w:rPr>
            </w:pPr>
            <w:r>
              <w:rPr>
                <w:szCs w:val="24"/>
              </w:rPr>
              <w:t>В съответствие с издадената заповед от 21.06.2016 г. на министъра на земеделието и храните Националната служба за съвети в земеделието (НССЗ) е единствен ползвател на финансовата помощ, който да предоставя на малки земеделски стопани съответните консултантски услуги, пряко свързани с прилагането на всички мерки включени в Тематичната подпрограма за малки стопанства /ТПП/.</w:t>
            </w:r>
          </w:p>
          <w:p w:rsidR="00A1205A" w:rsidRDefault="009E0DC1">
            <w:pPr>
              <w:spacing w:before="240" w:after="240"/>
              <w:jc w:val="left"/>
              <w:rPr>
                <w:szCs w:val="24"/>
              </w:rPr>
            </w:pPr>
            <w:r>
              <w:rPr>
                <w:szCs w:val="24"/>
              </w:rPr>
              <w:t>По подмярката НССЗ предоставя на малките земеделски стопанства шест основни консултантски пакета, които допринасят както за икономическо развитие и укрепване на малките земеделски стопанства чрез модернизация и технологичното обновление като устойчиви и жизнеспособни единици, така и за подобряване на опазването на околната среда и борба с климатичните промени. Определеният бюджет за проведения избор е в размер на 4 млн. евро от бюджета на мярката. Изборът на НССЗ за извършване на консултантските дейности е съобразен с одобрения текст на ПРСР 2014-2020 и разработеното национално законодателство за прилагане на мярката. Изборът е извършен с решение на Комисия за избор, назначена от министъра на земеделието и храните.</w:t>
            </w:r>
          </w:p>
          <w:p w:rsidR="00A1205A" w:rsidRDefault="009E0DC1">
            <w:pPr>
              <w:spacing w:before="240" w:after="240"/>
              <w:jc w:val="left"/>
              <w:rPr>
                <w:szCs w:val="24"/>
              </w:rPr>
            </w:pPr>
            <w:r>
              <w:rPr>
                <w:szCs w:val="24"/>
              </w:rPr>
              <w:t>Стартирането на подмярката от страна на УО е направено в пълен синхрон със старта на прилагането на подмярка 6.3. По този начин е осигурена облекчена възможност за малките земеделски стопани да получат безплатни съвети и консултации във връзка с техните стопанства и кандидатстването им по подмярка 6.3.</w:t>
            </w:r>
          </w:p>
          <w:p w:rsidR="00A1205A" w:rsidRDefault="009E0DC1">
            <w:pPr>
              <w:spacing w:before="240" w:after="240"/>
              <w:jc w:val="left"/>
              <w:rPr>
                <w:szCs w:val="24"/>
              </w:rPr>
            </w:pPr>
            <w:r>
              <w:rPr>
                <w:szCs w:val="24"/>
              </w:rPr>
              <w:t>По данни на НССЗ от страна на малките земеделски стопани най – голям интерес е отчетен към пакет 5.1, който включва изготвяне на бизнес план и заявление за подпомагане по подмярка 6.3 „Стартова помощ за развитие на малки земеделски стопанства”. По тази дейност НССЗ е предоставила консултантски услуги на 2 860 малки земеделски стопани, като 2 824 от тях са подали изготвените документи и са заявили подпомагане по подмярка 6.3.</w:t>
            </w:r>
          </w:p>
          <w:p w:rsidR="00A1205A" w:rsidRDefault="009E0DC1">
            <w:pPr>
              <w:spacing w:before="240" w:after="240"/>
              <w:jc w:val="left"/>
              <w:rPr>
                <w:szCs w:val="24"/>
              </w:rPr>
            </w:pPr>
            <w:r>
              <w:rPr>
                <w:szCs w:val="24"/>
              </w:rPr>
              <w:t>Наблюдава, се че земеделските стопани проявяват висок интерес и към консултанските пакети свързани със селскостопански практики от полза за климата и околната среда, политиката за водите, както и информация и съвети относно мерки за смекчаване на последиците от изменението на климата и адаптиране към него, биологичното разнообразие и опазването на водите, както същност и характеристиките на системата за кръстосано съответствие.</w:t>
            </w:r>
          </w:p>
          <w:p w:rsidR="00A1205A" w:rsidRDefault="009E0DC1">
            <w:pPr>
              <w:spacing w:before="240" w:after="240"/>
              <w:jc w:val="left"/>
              <w:rPr>
                <w:szCs w:val="24"/>
              </w:rPr>
            </w:pPr>
            <w:r>
              <w:rPr>
                <w:szCs w:val="24"/>
              </w:rPr>
              <w:t>На база вида на отглежданите в стопанствата култури или животни,  делът на растениевъдните стопанства е 50 % или 1 409 бр., животновъдните стопанства са 34 % или 961 бр., а най-малък е делът на стопанствата със смесено производство 16% или 454 бр. При животновъдните стопанства най-висок е делът на тези, отглеждащи пчели - 26 % или 792 бр. от общият брой подадени заявления, а при растениевъдните стопанства преобладават тези, в които се отглеждат плодове и зеленчуци - 46 % или 1 375 бр. При смесените стопанства най – често се наблюдава отглеждането на пчелни семейства, в комбинация с плодове и зеленчуци.</w:t>
            </w:r>
          </w:p>
          <w:p w:rsidR="00A1205A" w:rsidRDefault="009E0DC1">
            <w:pPr>
              <w:spacing w:before="240" w:after="240"/>
              <w:jc w:val="left"/>
              <w:rPr>
                <w:szCs w:val="24"/>
              </w:rPr>
            </w:pPr>
            <w:r>
              <w:rPr>
                <w:szCs w:val="24"/>
              </w:rPr>
              <w:t xml:space="preserve">Високият интерес от страна на малките земеделски стопани към комплексните услуги, предоставяни </w:t>
            </w:r>
            <w:r>
              <w:rPr>
                <w:szCs w:val="24"/>
              </w:rPr>
              <w:lastRenderedPageBreak/>
              <w:t>от страна на НССЗ я превръщат в ключов партньор при правилното и положително развитие на тези стопанства и улесняването на достъпа им до различните схеми и мерки за подпомагане, предоставяни в рамките на Общата селскостопанска политика. Не на последно място е и безвъзмездния характер на предоставяните услуги, отчитайки факта, че най – малките стопанства разполагат с ограничен финансов ресурс. В рамките на приема, проведен през 2016 г. по подмярка 6.3 са подадени 3 815 заявления, като 74 % от тях са подготвени от НССЗ.</w:t>
            </w:r>
          </w:p>
          <w:p w:rsidR="00A1205A" w:rsidRDefault="009E0DC1">
            <w:pPr>
              <w:spacing w:before="240" w:after="240"/>
              <w:jc w:val="left"/>
              <w:rPr>
                <w:szCs w:val="24"/>
              </w:rPr>
            </w:pPr>
            <w:r>
              <w:rPr>
                <w:szCs w:val="24"/>
              </w:rPr>
              <w:t>Подмярка 6.3 „Стартова помощ за развитието на малки стопанства”</w:t>
            </w:r>
          </w:p>
          <w:p w:rsidR="00A1205A" w:rsidRDefault="009E0DC1">
            <w:pPr>
              <w:spacing w:before="240" w:after="240"/>
              <w:jc w:val="left"/>
              <w:rPr>
                <w:szCs w:val="24"/>
              </w:rPr>
            </w:pPr>
            <w:r>
              <w:rPr>
                <w:szCs w:val="24"/>
              </w:rPr>
              <w:t>Прилагането на подмярката стартира през 2016 г., като е определен прием от 04.07.2016 г. до 12.08.2016 г. с размер на финансовата помощ 30 млн. евро.</w:t>
            </w:r>
          </w:p>
          <w:p w:rsidR="00A1205A" w:rsidRDefault="009E0DC1">
            <w:pPr>
              <w:spacing w:before="240" w:after="240"/>
              <w:jc w:val="left"/>
              <w:rPr>
                <w:szCs w:val="24"/>
              </w:rPr>
            </w:pPr>
            <w:r>
              <w:rPr>
                <w:szCs w:val="24"/>
              </w:rPr>
              <w:t>Това е първият целенасочен прием за малки стопанства в ПРСР 2014-2020, като по този начин се стартира и реалното прилагане на специално разработената Тематична подпрограма за малки стопанства за територията на страната. С цел улеснение за земеделските стопани и намаляване на административната тежест прилагането на подмярката е децентрализирано в 28 областни дирекции на Разплащателната агенция.</w:t>
            </w:r>
          </w:p>
          <w:p w:rsidR="00A1205A" w:rsidRDefault="009E0DC1">
            <w:pPr>
              <w:spacing w:before="240" w:after="240"/>
              <w:jc w:val="left"/>
              <w:rPr>
                <w:szCs w:val="24"/>
              </w:rPr>
            </w:pPr>
            <w:r>
              <w:rPr>
                <w:szCs w:val="24"/>
              </w:rPr>
              <w:t>Очаквано интереса от страна на малките земеделски стопани към този тип подпомагане е изключително висок, принос за което има и осигурената възможност тези стопани да получават безплатна консултантска помощ по различни пакети, включително за разработване на бизнес план и заявление за подпомагане. Тези безплатни консултации се предоставят от страна на НССЗ  в рамките на мярка 2 от ПРСР 2014-2020.</w:t>
            </w:r>
          </w:p>
          <w:p w:rsidR="00A1205A" w:rsidRDefault="009E0DC1">
            <w:pPr>
              <w:spacing w:before="240" w:after="240"/>
              <w:jc w:val="left"/>
              <w:rPr>
                <w:szCs w:val="24"/>
              </w:rPr>
            </w:pPr>
            <w:r>
              <w:rPr>
                <w:szCs w:val="24"/>
              </w:rPr>
              <w:t>През 2016 г. в рамките на определения бюджет по Тематичната подпрограма е осигурено и изплащането на средствата по годишните ангажименти по подмярка 141 от ПРСР 2007-2013.</w:t>
            </w:r>
          </w:p>
          <w:p w:rsidR="00A1205A" w:rsidRDefault="009E0DC1">
            <w:pPr>
              <w:spacing w:before="240" w:after="240"/>
              <w:jc w:val="left"/>
              <w:rPr>
                <w:szCs w:val="24"/>
              </w:rPr>
            </w:pPr>
            <w:r>
              <w:rPr>
                <w:szCs w:val="24"/>
              </w:rPr>
              <w:t>През 2016 г. от всички 3 815 заявления за подпомагане са одобрени едва 3 с размер на одобрената финансова помощ в размер на 0,045 млн. евро. Въпреки децентрализираният подход на прием и обработка на заявленията за подпомагане се наблюдава забавяне в процеса по обработка на заявленията, което трябва да се анализира преди определяне на бъдещи периоди на прием и да бъдат предприети действия за спазване нормативно определените срокове.</w:t>
            </w:r>
          </w:p>
          <w:p w:rsidR="00A1205A" w:rsidRDefault="009E0DC1">
            <w:pPr>
              <w:spacing w:before="240" w:after="240"/>
              <w:jc w:val="left"/>
              <w:rPr>
                <w:szCs w:val="24"/>
              </w:rPr>
            </w:pPr>
            <w:r>
              <w:rPr>
                <w:szCs w:val="24"/>
              </w:rPr>
              <w:t>По подмярка 6.3 през 2016 г. е изплатена финансова помощ на 3 малки стопанства. В същото време по поети ангажименти по мярка 141 от ПРСР 2007-2013 са изплатени 3 598 заявки за плащане с изплатена финансова помощ 5,37 млн. евро, пето плащане са получили 1 763 полупазарни стопанства с изплатена финансова помощ в размер на 2,62 млн. евро.</w:t>
            </w:r>
          </w:p>
          <w:p w:rsidR="00A1205A" w:rsidRDefault="00A1205A">
            <w:pPr>
              <w:pStyle w:val="BodyText"/>
            </w:pPr>
          </w:p>
        </w:tc>
      </w:tr>
    </w:tbl>
    <w:p w:rsidR="00A1205A" w:rsidRDefault="00A1205A">
      <w:pPr>
        <w:sectPr w:rsidR="00A1205A">
          <w:pgSz w:w="12240" w:h="15840"/>
          <w:pgMar w:top="900" w:right="900" w:bottom="900" w:left="900" w:header="720" w:footer="720" w:gutter="0"/>
          <w:cols w:space="720"/>
        </w:sectPr>
      </w:pPr>
    </w:p>
    <w:p w:rsidR="00A1205A" w:rsidRDefault="009E0DC1">
      <w:pPr>
        <w:pStyle w:val="Heading1"/>
      </w:pPr>
      <w:bookmarkStart w:id="31" w:name="_Toc256000030"/>
      <w:r>
        <w:lastRenderedPageBreak/>
        <w:t>Оценка на информацията и напредъка в постигането на целите на програмата</w:t>
      </w:r>
      <w:bookmarkEnd w:id="31"/>
    </w:p>
    <w:p w:rsidR="00A1205A" w:rsidRDefault="009E0DC1">
      <w:pPr>
        <w:pStyle w:val="Heading2"/>
      </w:pPr>
      <w:bookmarkStart w:id="32" w:name="_Toc256000031"/>
      <w:r>
        <w:t>CEQ04-2A - До каква степен интервенциите по ПРСР са допринесли за подобряване на икономическите резултати, преструктурирането и модернизацията на подпомогнатите стопанства, в частност чрез увеличаване на тяхното участие на пазара и разнообразяването на селскостопанските дейности?</w:t>
      </w:r>
      <w:bookmarkEnd w:id="32"/>
    </w:p>
    <w:p w:rsidR="00A1205A" w:rsidRDefault="009E0DC1">
      <w:pPr>
        <w:pStyle w:val="Heading3"/>
        <w:jc w:val="left"/>
      </w:pPr>
      <w:bookmarkStart w:id="33" w:name="_Toc256000032"/>
      <w:r>
        <w:t>Списък на мерките, допринасящи за акцентираната област</w:t>
      </w:r>
      <w:bookmarkEnd w:id="3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750" w:type="pct"/>
            <w:shd w:val="clear" w:color="auto" w:fill="auto"/>
            <w:tcMar>
              <w:top w:w="20" w:type="dxa"/>
              <w:left w:w="20" w:type="dxa"/>
              <w:bottom w:w="20" w:type="dxa"/>
            </w:tcMar>
            <w:vAlign w:val="center"/>
          </w:tcPr>
          <w:p w:rsidR="00A1205A" w:rsidRDefault="009E0DC1" w:rsidP="009E0DC1">
            <w:pPr>
              <w:numPr>
                <w:ilvl w:val="0"/>
                <w:numId w:val="41"/>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1"/>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1"/>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1"/>
              </w:numPr>
              <w:spacing w:before="0" w:after="0"/>
              <w:ind w:hanging="210"/>
              <w:jc w:val="left"/>
              <w:rPr>
                <w:szCs w:val="24"/>
              </w:rPr>
            </w:pPr>
            <w:r>
              <w:rPr>
                <w:szCs w:val="24"/>
              </w:rPr>
              <w:t>Мярка 6 „Развитие на стопанства и предприятия“</w:t>
            </w:r>
          </w:p>
          <w:p w:rsidR="00A1205A" w:rsidRDefault="009E0DC1" w:rsidP="009E0DC1">
            <w:pPr>
              <w:numPr>
                <w:ilvl w:val="0"/>
                <w:numId w:val="41"/>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34" w:name="_Toc256000033"/>
      <w:r>
        <w:t>Връзка между критериите за преценка, общите и допълнителните показатели за резултатите, използвани за отговор на ОВО</w:t>
      </w:r>
      <w:bookmarkEnd w:id="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Структура на икономическия размер на подпомаганите стопанства</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Увеличила се е селскостопанската продукция на годишна работна единица в подпомаганите стопанства</w:t>
            </w:r>
          </w:p>
        </w:tc>
        <w:tc>
          <w:tcPr>
            <w:tcW w:w="1650" w:type="pct"/>
            <w:shd w:val="clear" w:color="auto" w:fill="FFFFFF"/>
            <w:tcMar>
              <w:top w:w="20" w:type="dxa"/>
              <w:left w:w="20" w:type="dxa"/>
              <w:bottom w:w="20" w:type="dxa"/>
            </w:tcMar>
          </w:tcPr>
          <w:p w:rsidR="00A1205A" w:rsidRDefault="009E0DC1">
            <w:pPr>
              <w:jc w:val="left"/>
              <w:rPr>
                <w:sz w:val="16"/>
              </w:rPr>
            </w:pPr>
            <w:r>
              <w:rPr>
                <w:sz w:val="16"/>
              </w:rPr>
              <w:t>Р2: промени в селскостопанската продукция на подпомогнатите стопанства/ГРЕ (годишни работни единици) (област с поставен акцент 2А)*</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Модернизирани са земеделски стопанства</w:t>
            </w:r>
          </w:p>
        </w:tc>
        <w:tc>
          <w:tcPr>
            <w:tcW w:w="1650" w:type="pct"/>
            <w:shd w:val="clear" w:color="auto" w:fill="FFFFFF"/>
            <w:tcMar>
              <w:top w:w="20" w:type="dxa"/>
              <w:left w:w="20" w:type="dxa"/>
              <w:bottom w:w="20" w:type="dxa"/>
            </w:tcMar>
          </w:tcPr>
          <w:p w:rsidR="00A1205A" w:rsidRDefault="009E0DC1">
            <w:pPr>
              <w:jc w:val="left"/>
              <w:rPr>
                <w:sz w:val="16"/>
              </w:rPr>
            </w:pPr>
            <w:r>
              <w:rPr>
                <w:sz w:val="16"/>
              </w:rPr>
              <w:t>R1 / 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Реструктурирани са земеделски стопанства</w:t>
            </w:r>
          </w:p>
        </w:tc>
        <w:tc>
          <w:tcPr>
            <w:tcW w:w="1650" w:type="pct"/>
            <w:shd w:val="clear" w:color="auto" w:fill="FFFFFF"/>
            <w:tcMar>
              <w:top w:w="20" w:type="dxa"/>
              <w:left w:w="20" w:type="dxa"/>
              <w:bottom w:w="20" w:type="dxa"/>
            </w:tcMar>
          </w:tcPr>
          <w:p w:rsidR="00A1205A" w:rsidRDefault="009E0DC1">
            <w:pPr>
              <w:jc w:val="left"/>
              <w:rPr>
                <w:sz w:val="16"/>
              </w:rPr>
            </w:pPr>
            <w:r>
              <w:rPr>
                <w:sz w:val="16"/>
              </w:rPr>
              <w:t>R1 / 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35" w:name="_Toc256000034"/>
      <w:r>
        <w:t>Прилагани методи</w:t>
      </w:r>
      <w:bookmarkEnd w:id="3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36" w:name="_Toc256000035"/>
      <w:r>
        <w:t>Количествени стойности на показателите и източници на данни</w:t>
      </w:r>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403"/>
        <w:gridCol w:w="1070"/>
        <w:gridCol w:w="871"/>
        <w:gridCol w:w="852"/>
        <w:gridCol w:w="911"/>
        <w:gridCol w:w="1222"/>
        <w:gridCol w:w="852"/>
        <w:gridCol w:w="2272"/>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Primary contribution</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Secondary contribution, including LEADER/CLLD contribution</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Р2: промени в селскостопанската продукция на подпомогнатите стопанства/ГРЕ (годишни работни единици) (област с поставен акцент 2А)*</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R2: Промяна в селскостопанска продукция на получаващите подкрепа стопанства (акцентирана област 2A)*</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R2: ГРЕ (годишна работна единица) (акцентирана област 2A)</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R1 / 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Структура на икономическия размер на подпомаганите стопанства</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37" w:name="_Toc256000036"/>
      <w:r>
        <w:t>Идентифицирани проблеми, които влияят върху действителността и надеждността на констатациите от оценката</w:t>
      </w:r>
      <w:bookmarkEnd w:id="3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38" w:name="_Toc256000037"/>
      <w:r>
        <w:t>Отговор на въпрос за оценка</w:t>
      </w:r>
      <w:bookmarkEnd w:id="3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фокус област 2А е в размер на 253 067 467 евро. ПРСР предвижда изпълнението на фокус област 2А да се постигне посредством прилагането на следните мерки:</w:t>
            </w:r>
          </w:p>
          <w:p w:rsidR="00A1205A" w:rsidRDefault="009E0DC1" w:rsidP="009E0DC1">
            <w:pPr>
              <w:numPr>
                <w:ilvl w:val="0"/>
                <w:numId w:val="42"/>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2"/>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2"/>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2"/>
              </w:numPr>
              <w:spacing w:before="0" w:after="0"/>
              <w:ind w:hanging="210"/>
              <w:jc w:val="left"/>
              <w:rPr>
                <w:szCs w:val="24"/>
              </w:rPr>
            </w:pPr>
            <w:r>
              <w:rPr>
                <w:szCs w:val="24"/>
              </w:rPr>
              <w:t>Мярка 6 „Развитие на стопанства и предприятия“</w:t>
            </w:r>
          </w:p>
          <w:p w:rsidR="00A1205A" w:rsidRDefault="009E0DC1" w:rsidP="009E0DC1">
            <w:pPr>
              <w:numPr>
                <w:ilvl w:val="0"/>
                <w:numId w:val="42"/>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Към 31 декември 2016 г. е отбелязан напредък по отношение на изпълнението на фокус област 2А посредством стартирането и изпълнението на подмярка 4.1 „Инвестиции в земеделски стопанства“ от мярка 4 „Инвестиции в материални активи“ и подмярка 6.3 „Стартова помощ за малки земеделски стопанства“ от мярка 6 „Развитие на стопанства и предприятия“ /през 2016 са одобрени само три заявления за подпомагане/ от Тематичната подпрограма за малки земеделски стопанства на ПРСР.</w:t>
            </w:r>
          </w:p>
          <w:p w:rsidR="00A1205A" w:rsidRDefault="009E0DC1">
            <w:pPr>
              <w:spacing w:before="240" w:after="240"/>
              <w:jc w:val="left"/>
              <w:rPr>
                <w:szCs w:val="24"/>
              </w:rPr>
            </w:pPr>
            <w:r>
              <w:rPr>
                <w:szCs w:val="24"/>
              </w:rPr>
              <w:t>През 2016 г. са проведени приеми на заявления за подпомагане по подмярка 4.1 „Инвестиции в земеделски стопанства“ и подмярка 6.3 „Стартова помощ за малки земеделски стопанства“, както и са обработени заявленията за подпомагане, постъпили в периода на прием по подмярка 4.1 „Инвестиции в земеделски стопанства, проведен през 2015 г.</w:t>
            </w:r>
          </w:p>
          <w:p w:rsidR="00A1205A" w:rsidRDefault="009E0DC1">
            <w:pPr>
              <w:spacing w:before="240" w:after="240"/>
              <w:jc w:val="left"/>
              <w:rPr>
                <w:szCs w:val="24"/>
              </w:rPr>
            </w:pPr>
            <w:r>
              <w:rPr>
                <w:szCs w:val="24"/>
              </w:rPr>
              <w:t>Към края на 2016 г. са сключени общо 764 /803/ договори за подпомагане по подмярка 4.1 с одобрена финансова помощ в размер на 99 871 066 евро. В тази връзка по отношение на размера на договорените средства, изпълнението на фокус област 2А възлиза на 39.5 % от планирания общ бюджет в размер на 253 067 467 евро. Този напредък е формиран като резултат от поети ангажименти по подмярка 4.1 в размер на 99 871 066 евро и 45 000 евро по подмярка 6.3, като реалното постигане на целевите стойности ще се определи на база завършени проекти.</w:t>
            </w:r>
          </w:p>
          <w:p w:rsidR="00A1205A" w:rsidRDefault="009E0DC1">
            <w:pPr>
              <w:spacing w:before="240" w:after="240"/>
              <w:jc w:val="left"/>
              <w:rPr>
                <w:szCs w:val="24"/>
              </w:rPr>
            </w:pPr>
            <w:r>
              <w:rPr>
                <w:szCs w:val="24"/>
              </w:rPr>
              <w:t>До края на година са успешно изпълнени/приключени общо 127 проекта, заявления по които са подадени през 2015 г. Реализираните инвестиции по съответните проекти са в размер на 20 419 319 евро (8.5 % спрямо планираните инвестиции по подмярката в съответната фокус област) като по тях е изплатена финансова помощ в размер на 12 014 168 евро (7.3 % спрямо планираната финансова помощ по подмярката в 2А).</w:t>
            </w:r>
          </w:p>
          <w:p w:rsidR="00A1205A" w:rsidRDefault="009E0DC1">
            <w:pPr>
              <w:spacing w:before="240" w:after="240"/>
              <w:jc w:val="left"/>
              <w:rPr>
                <w:szCs w:val="24"/>
              </w:rPr>
            </w:pPr>
            <w:r>
              <w:rPr>
                <w:szCs w:val="24"/>
              </w:rPr>
              <w:t>Към края на 2016 г. са сключени също така договори за предоставяне на финансова помощ по 3 заявления за подпомагане по подмярка 6.3 „Стартова помощ за малки земеделски стопанства“ от Тематичната подпрограма за малки земеделски стопанства, в рамките на които е договорен финансов ресурс в размер на 45 000 евро.</w:t>
            </w:r>
          </w:p>
          <w:p w:rsidR="00A1205A" w:rsidRDefault="009E0DC1">
            <w:pPr>
              <w:spacing w:before="240" w:after="240"/>
              <w:jc w:val="left"/>
              <w:rPr>
                <w:szCs w:val="24"/>
              </w:rPr>
            </w:pPr>
            <w:r>
              <w:rPr>
                <w:szCs w:val="24"/>
              </w:rPr>
              <w:t>По отношение на изпълнение на заложените цели в рамките на област 2А въз основа на платените средства към 31 декември 2016 г. е отбелязан напредък, на база 127 проекта с получено окончателно плащане, което представлява 3.63 % от заложената прогнозна стойност в рамките на фокус областта по подмярката. Въпреки ниския процент спрямо, първоначално заложеният показател следва да се отбележи, че проектите в процес на изпълнение в по – голямата си част ще бъдат финализирани през 2017 г.</w:t>
            </w:r>
          </w:p>
          <w:p w:rsidR="00A1205A" w:rsidRDefault="009E0DC1">
            <w:pPr>
              <w:spacing w:before="240" w:after="240"/>
              <w:jc w:val="left"/>
              <w:rPr>
                <w:szCs w:val="24"/>
              </w:rPr>
            </w:pPr>
            <w:r>
              <w:rPr>
                <w:szCs w:val="24"/>
              </w:rPr>
              <w:t>Посочените 127 проекта по които са получени окончателни плащания са реализирани основно в рамките на приоритетните за подпомагане сектори, посочени като приеоритетни в Програмата, а именно животновъдство, плодове и зеленчуци и етерично-маслени култури. По съответните проекти е изплатена финансова помощ в размер на 12 014 168 евро, средства които са спомогнали за повишаване на конкурентоспособността на стопанствата, получатели на подпомагане.</w:t>
            </w:r>
          </w:p>
          <w:p w:rsidR="00A1205A" w:rsidRDefault="009E0DC1">
            <w:pPr>
              <w:spacing w:before="240" w:after="240"/>
              <w:jc w:val="left"/>
              <w:rPr>
                <w:szCs w:val="24"/>
              </w:rPr>
            </w:pPr>
            <w:r>
              <w:rPr>
                <w:szCs w:val="24"/>
              </w:rPr>
              <w:t>Голяма част от инвестиции са свързани със закупуване на земеделска техника и оборудване, което позволя по-бързото им изпълнение. Средният размер на инвестициите по приключените проекти възлиза на 160 782 евро а средния размер на изплатената финансова помощ е приблизително 94 600 евро.</w:t>
            </w:r>
          </w:p>
          <w:p w:rsidR="00A1205A" w:rsidRDefault="009E0DC1">
            <w:pPr>
              <w:spacing w:before="240" w:after="240"/>
              <w:jc w:val="left"/>
              <w:rPr>
                <w:szCs w:val="24"/>
              </w:rPr>
            </w:pPr>
            <w:r>
              <w:rPr>
                <w:szCs w:val="24"/>
              </w:rPr>
              <w:t>Размерът на субсидията представлява 59 % от размера на одобрените разходи от което следва, че голяма част от изпълнените проекти се изпълняват при условията осигуряващи по – висок интензитет на финансовата помощ, като: проекти в необлагодетелствани райони, проекти за  производство на биологична продукция и преокти представени от млади земеделски стопани.</w:t>
            </w:r>
          </w:p>
          <w:p w:rsidR="00A1205A" w:rsidRDefault="009E0DC1">
            <w:pPr>
              <w:spacing w:before="240" w:after="240"/>
              <w:jc w:val="left"/>
              <w:rPr>
                <w:szCs w:val="24"/>
              </w:rPr>
            </w:pPr>
            <w:r>
              <w:rPr>
                <w:szCs w:val="24"/>
              </w:rPr>
              <w:t>Въпреки стартирането на подмярка 4.1 в началото на 2015 г. следва да се отбележи, че 2016 г. се явява първата година, в която инвестициите, реализирани по проектите са въведени в експлоатация. Поради тази причина ефекта от изпълнението на проекитите и съответните инвестиции ще бъде отчетен в рамките на предстоящите години от изпълнение на бизнес плановете, предоставяйки възможност да бъде обхваната поне една стопанска година от тяхната експлоатация. Подробна информация относно типа на финализираните проекти в рамките на фокус област 2А е посочена в раздел „Ключова информация относно изпълненеито на ПРСР въз основа на данни от а) и б)“.</w:t>
            </w:r>
          </w:p>
          <w:p w:rsidR="00A1205A" w:rsidRDefault="00A1205A">
            <w:pPr>
              <w:pStyle w:val="BodyText"/>
            </w:pPr>
          </w:p>
        </w:tc>
      </w:tr>
    </w:tbl>
    <w:p w:rsidR="00A1205A" w:rsidRDefault="009E0DC1">
      <w:pPr>
        <w:pStyle w:val="Heading3"/>
        <w:jc w:val="left"/>
      </w:pPr>
      <w:bookmarkStart w:id="39" w:name="_Toc256000038"/>
      <w:r>
        <w:t>Заключения и препоръки</w:t>
      </w:r>
      <w:bookmarkEnd w:id="39"/>
    </w:p>
    <w:p w:rsidR="00A1205A" w:rsidRDefault="009E0DC1">
      <w:pPr>
        <w:pStyle w:val="Heading2"/>
      </w:pPr>
      <w:bookmarkStart w:id="40" w:name="_Toc256000039"/>
      <w:r>
        <w:t>CEQ05-2B - До каква степен интервенциите по ПРСР са подпомогнали навлизането на земеделски стопани с подходяща квалификация в селскостопанския сектор, и по-специално приемствеността между поколенията?</w:t>
      </w:r>
      <w:bookmarkEnd w:id="40"/>
    </w:p>
    <w:p w:rsidR="00A1205A" w:rsidRDefault="009E0DC1">
      <w:pPr>
        <w:pStyle w:val="Heading3"/>
        <w:jc w:val="left"/>
      </w:pPr>
      <w:r>
        <w:br w:type="page"/>
      </w:r>
      <w:bookmarkStart w:id="41" w:name="_Toc256000040"/>
      <w:r>
        <w:t>Списък на мерките, допринасящи за акцентираната област</w:t>
      </w:r>
      <w:bookmarkEnd w:id="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43"/>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3"/>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3"/>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3"/>
              </w:numPr>
              <w:spacing w:before="0" w:after="240"/>
              <w:ind w:hanging="210"/>
              <w:jc w:val="left"/>
              <w:rPr>
                <w:szCs w:val="24"/>
              </w:rPr>
            </w:pPr>
            <w:r>
              <w:rPr>
                <w:szCs w:val="24"/>
              </w:rPr>
              <w:t>Мярка 6 „Развитие на стопанства и предприятия“</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42" w:name="_Toc256000041"/>
      <w:r>
        <w:t>Връзка между критериите за преценка, общите и допълнителните показатели за резултатите, използвани за отговор на ОВО</w:t>
      </w:r>
      <w:bookmarkEnd w:id="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Увеличил се е дялът на подходящо квалифицираните земеделски стопани в земеделския сектор</w:t>
            </w:r>
          </w:p>
        </w:tc>
        <w:tc>
          <w:tcPr>
            <w:tcW w:w="1650" w:type="pct"/>
            <w:shd w:val="clear" w:color="auto" w:fill="FFFFFF"/>
            <w:tcMar>
              <w:top w:w="20" w:type="dxa"/>
              <w:left w:w="20" w:type="dxa"/>
              <w:bottom w:w="20" w:type="dxa"/>
            </w:tcMar>
          </w:tcPr>
          <w:p w:rsidR="00A1205A" w:rsidRDefault="009E0DC1">
            <w:pPr>
              <w:jc w:val="left"/>
              <w:rPr>
                <w:sz w:val="16"/>
              </w:rPr>
            </w:pPr>
            <w:r>
              <w:rPr>
                <w:sz w:val="16"/>
              </w:rPr>
              <w:t>R3 / 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В земеделския сектор са навлезли подходящо квалифицирани земеделски стопани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Процент подходящо квалифицирани земеделски стопани в земеделския сектор на територията на изпълнение на ПРСР</w:t>
            </w:r>
          </w:p>
        </w:tc>
      </w:tr>
    </w:tbl>
    <w:p w:rsidR="00A1205A" w:rsidRDefault="00A1205A">
      <w:pPr>
        <w:jc w:val="center"/>
        <w:rPr>
          <w:sz w:val="16"/>
        </w:rPr>
      </w:pPr>
    </w:p>
    <w:p w:rsidR="00A1205A" w:rsidRDefault="009E0DC1">
      <w:pPr>
        <w:pStyle w:val="Heading3"/>
        <w:jc w:val="left"/>
      </w:pPr>
      <w:bookmarkStart w:id="43" w:name="_Toc256000042"/>
      <w:r>
        <w:t>Прилагани методи</w:t>
      </w:r>
      <w:bookmarkEnd w:id="4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44" w:name="_Toc256000043"/>
      <w:r>
        <w:t>Количествени стойности на показателите и източници на данни</w:t>
      </w:r>
      <w:bookmarkEnd w:id="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842"/>
        <w:gridCol w:w="1070"/>
        <w:gridCol w:w="871"/>
        <w:gridCol w:w="852"/>
        <w:gridCol w:w="852"/>
        <w:gridCol w:w="3966"/>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R3 / 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Процент подходящо квалифицирани земеделски стопани в земеделския сектор на територията на изпълнение на ПРСР</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45" w:name="_Toc256000044"/>
      <w:r>
        <w:t>Идентифицирани проблеми, които влияят върху действителността и надеждността на констатациите от оценката</w:t>
      </w:r>
      <w:bookmarkEnd w:id="4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46" w:name="_Toc256000045"/>
      <w:r>
        <w:t>Отговор на въпрос за оценка</w:t>
      </w:r>
      <w:bookmarkEnd w:id="4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фокус област 2Б е в размер на 100 864 735 евро. ПРСР предвижда изпълнението на фокус област 2А да се постигне посредством прилагането на следните мерки:</w:t>
            </w:r>
          </w:p>
          <w:p w:rsidR="00A1205A" w:rsidRDefault="009E0DC1" w:rsidP="009E0DC1">
            <w:pPr>
              <w:numPr>
                <w:ilvl w:val="0"/>
                <w:numId w:val="44"/>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4"/>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4"/>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4"/>
              </w:numPr>
              <w:spacing w:before="0" w:after="240"/>
              <w:ind w:hanging="210"/>
              <w:jc w:val="left"/>
              <w:rPr>
                <w:szCs w:val="24"/>
              </w:rPr>
            </w:pPr>
            <w:r>
              <w:rPr>
                <w:szCs w:val="24"/>
              </w:rPr>
              <w:t>Мярка 6 „Развитие на стопанства и предприятия“</w:t>
            </w:r>
          </w:p>
          <w:p w:rsidR="00A1205A" w:rsidRDefault="009E0DC1">
            <w:pPr>
              <w:spacing w:before="240" w:after="240"/>
              <w:jc w:val="left"/>
              <w:rPr>
                <w:szCs w:val="24"/>
              </w:rPr>
            </w:pPr>
            <w:r>
              <w:rPr>
                <w:szCs w:val="24"/>
              </w:rPr>
              <w:t>Към 31 декември 2016 г. е отбелязан напредък по отношение на изпълнението на фокус област 2Б посредством стартирането и изпълнението на подмярка 2.1 „Консултански услуги за земеделски и горски стопани“ от Мярка 2 „Консултантски услуги, услуги по управление на стопанство и услуги по заместване в стопанство“, подмярка 4.1 „Инвестиции в земеделски стопанства“ от мярка 4 „Инвестиции в материални активи“ и подмярка 6.1 „Стартова помощ за млади земеделски производители“ от мярка 6 „Развитие на стопанства и предприятия“ от ПРСР.</w:t>
            </w:r>
          </w:p>
          <w:p w:rsidR="00A1205A" w:rsidRDefault="009E0DC1">
            <w:pPr>
              <w:spacing w:before="240" w:after="240"/>
              <w:jc w:val="left"/>
              <w:rPr>
                <w:szCs w:val="24"/>
              </w:rPr>
            </w:pPr>
            <w:r>
              <w:rPr>
                <w:szCs w:val="24"/>
              </w:rPr>
              <w:t>Напредъкът по отношение на навлизането на земеделски стопани с подходяща квалификация в селскостопанския сектор, и по-специално приемствеността между поколенията се изразява в сключване на договори за подпомагане на млади земеделски стопани за предoставяне на стартова помощ по подмярка 6.1 както и одобрение на заявления за реализация на инвестиции в модернизация на стопанства на млади земеделски стопани по подмярка 4.1.</w:t>
            </w:r>
          </w:p>
          <w:p w:rsidR="00A1205A" w:rsidRDefault="009E0DC1">
            <w:pPr>
              <w:spacing w:before="240" w:after="240"/>
              <w:jc w:val="left"/>
              <w:rPr>
                <w:szCs w:val="24"/>
              </w:rPr>
            </w:pPr>
            <w:r>
              <w:rPr>
                <w:szCs w:val="24"/>
              </w:rPr>
              <w:t>Изпълнението на Фокус област 2Б на база сключени договори за предоставяне на финансова помощ към 31 декември 2016 г. възлиза на 87.3 % от планирания размер на средствата. Общият размер на поетите ангажименти от страна на млади фермери в рамките на фокус областта възлиза на 88 073 146 евро от които 34 375 000 евро по подмярка 6.1 „Стартова помощ за млади земеделски стопани“ въз основа на 1 373 сключени договора и 52 769 350 евро договорени средства по подмярка 4.1 „Инвестиции в земеделски стопанства“.</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По отношение на приключените проекти, към към 31 декември 2016 г. са успешно изпълнени 37 проекти по подмярка 4.1 „Инвестиции в земеделски стопанства“, по които са подадени заявки за окончателно плащане от страна на млади земеделски стопани. Реализираните инвестиции възлизат на 5 599 665 евро, което представлява 16 % от планираните за реализация 35 000 000 евро в рамките на фокус областта по мярка 4 „Инвестиции в материални активи“.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За изпълнението на фокус областта е  допринесла и подмярка 2.1 в рамките на която е предоставен консултански пакет от Национална служба за съвети в земеделието (НССЗ), за да подпомогне младите фермери при подготовка на проектните им предложения по подмярка 6.1 „Стартова помощ за млади земеделски стопани“. Ангажираните средства за изпълнение на дейността възлизат на 928 796 евро или 68 % от предвидените средства по подмярката в рамките на съответната фокус област.</w:t>
            </w:r>
          </w:p>
          <w:p w:rsidR="00A1205A" w:rsidRDefault="009E0DC1">
            <w:pPr>
              <w:spacing w:before="240" w:after="240"/>
              <w:jc w:val="left"/>
              <w:rPr>
                <w:szCs w:val="24"/>
              </w:rPr>
            </w:pPr>
            <w:r>
              <w:rPr>
                <w:szCs w:val="24"/>
              </w:rPr>
              <w:t>Към 31 декември 2016 г. процентът на земеделските стопанства, разполагащи с бизнес план за развитие/инвестиции за млади земеделски стопани, подпомогани по ПРСР възлиза на 0.42 % спрямо заложения индикатор от 0.83 %. Реализираните проекти от друга страна (по подмярка 4.1) представляват 0.01 % от планирания размер. Договорените средства, по които е извършено първо плащане по подмярка 6.1, не са отчетени като реализирани проекти по съответния индикатор. Въпреки това следва да се отбележи, че в рамките на подмярка 6.1 сключените договори с млади земеделски стопани, ще бъдат отчетени като приключени при успешно изпълнение на бизнеса плана.</w:t>
            </w:r>
          </w:p>
          <w:p w:rsidR="00A1205A" w:rsidRDefault="009E0DC1">
            <w:pPr>
              <w:spacing w:before="240" w:after="240"/>
              <w:jc w:val="left"/>
              <w:rPr>
                <w:szCs w:val="24"/>
              </w:rPr>
            </w:pPr>
            <w:r>
              <w:rPr>
                <w:szCs w:val="24"/>
              </w:rPr>
              <w:t>Също така в рамките на подмярка 4.1 „Инвестиции в земеделски стопанства“ се изпълняват проекти, представени от млади земеделски стопани, допринасящи за изпълнение на фокус областта, които ще бъда приключени в рамките на следващите две години.</w:t>
            </w:r>
          </w:p>
          <w:p w:rsidR="00A1205A" w:rsidRDefault="009E0DC1">
            <w:pPr>
              <w:spacing w:before="240" w:after="240"/>
              <w:jc w:val="left"/>
              <w:rPr>
                <w:szCs w:val="24"/>
              </w:rPr>
            </w:pPr>
            <w:r>
              <w:rPr>
                <w:szCs w:val="24"/>
              </w:rPr>
              <w:t>По отношение на младите фермери, изпълняващи договори за предоставяне на стартова помощ по подмярка 6.1 следва да се отбележи, че 244 от съответните стопани имат завършено средно и/или висше образование в областта на селското стопанство, ветеринарната медицина или икономическо образование със земеделска насоченост, което представлява приблизително 1/5 от договорените проекти. Това от своя страна показва, че за младите хора с придобито образование в областта на селското стопанство, ветеринарната медицина или икономическо образование със земеделска насоченост е предоставена възможност за навлизане в сектора чрез осигурена подкрепа в рамките на подмярката.</w:t>
            </w:r>
          </w:p>
          <w:p w:rsidR="00A1205A" w:rsidRDefault="009E0DC1">
            <w:pPr>
              <w:spacing w:before="240" w:after="240"/>
              <w:jc w:val="left"/>
              <w:rPr>
                <w:szCs w:val="24"/>
              </w:rPr>
            </w:pPr>
            <w:r>
              <w:rPr>
                <w:szCs w:val="24"/>
              </w:rPr>
              <w:t>Въз основа на събраните данни следва да се отбележи, че въпреки ниския процент на изпълнение на база реализирани проекти, е отбелязан сериозен напредък по отношение на навлизането на земеделски стопани с подходяща квалификация в селскостопанския сектор, и по-специално приемствеността между поколенията. Този напредък е базиран на проекти, които се изпълняват по подмярка 6.1 „Стартова помощ за млади земеделски стопани“ и подмярка 4.1 „Инвестиции в земеделски стопанства“, които ще спомогнат за изпълнение на основната цел на фокус областта на 50 %, а именно земеделските стопанства, разполагащи с бизнес план за развитие/инвестиции за млади земеделски стопани, подпомогани по ПРСР.</w:t>
            </w:r>
          </w:p>
          <w:p w:rsidR="00A1205A" w:rsidRDefault="009E0DC1">
            <w:pPr>
              <w:spacing w:before="240" w:after="240"/>
              <w:jc w:val="left"/>
              <w:rPr>
                <w:szCs w:val="24"/>
              </w:rPr>
            </w:pPr>
            <w:r>
              <w:rPr>
                <w:szCs w:val="24"/>
              </w:rPr>
              <w:t>Въпреки положителните резултата е необходимо да бъдат анализирани резултатите от първия период на прием по подмярка 6.1 „Стартова помощ за млади земеделски стопани“ с цел предприемане на корективни действия в случай, че поставените цели в рамките на подмярката не се изпълняват в достатъчна степен въз основа на типа на договорените проекти. Също така е необходимо да се предостави възможност за обучения на младите фермери, получатели на финансова помощ по подмярка 6.1 и подмярка 4.1 чрез мярка 1 на Програмата, за тези ползватели на финансова помощ, които не разполагат със съответно образование или не са преминали курсове на обучение за управление на стопанствата си. При възможност да бъдат организирани обучения/семинари от УО на ПРСР за млади фермери, за изпълнение на проектите им с цел намаляване процента на грешка предвид липсата на опит сред младите фермери по отношение на селскостопанската дейност и изпълнението на поетите ангажименти по одобрените бизнес плана.</w:t>
            </w:r>
          </w:p>
          <w:p w:rsidR="00A1205A" w:rsidRDefault="00A1205A">
            <w:pPr>
              <w:pStyle w:val="BodyText"/>
            </w:pPr>
          </w:p>
        </w:tc>
      </w:tr>
    </w:tbl>
    <w:p w:rsidR="00A1205A" w:rsidRDefault="009E0DC1">
      <w:pPr>
        <w:pStyle w:val="Heading3"/>
        <w:jc w:val="left"/>
      </w:pPr>
      <w:bookmarkStart w:id="47" w:name="_Toc256000046"/>
      <w:r>
        <w:t>Заключения и препоръки</w:t>
      </w:r>
      <w:bookmarkEnd w:id="47"/>
    </w:p>
    <w:p w:rsidR="00A1205A" w:rsidRDefault="009E0DC1">
      <w:pPr>
        <w:pStyle w:val="Heading2"/>
      </w:pPr>
      <w:bookmarkStart w:id="48" w:name="_Toc256000047"/>
      <w:r>
        <w:t>CEQ06-3A - До каква степен интервенциите по ПРСР са допринесли за подобряване на конкурентоспособността на подпомаганите първични производители чрез по-доброто им интегриране в селскостопанската и хранителната верига чрез схеми за качество, чрез добавяне на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w:t>
      </w:r>
      <w:bookmarkEnd w:id="48"/>
    </w:p>
    <w:p w:rsidR="00A1205A" w:rsidRDefault="009E0DC1">
      <w:pPr>
        <w:pStyle w:val="Heading3"/>
        <w:jc w:val="left"/>
      </w:pPr>
      <w:r>
        <w:br w:type="page"/>
      </w:r>
      <w:bookmarkStart w:id="49" w:name="_Toc256000048"/>
      <w:r>
        <w:t>Списък на мерките, допринасящи за акцентираната област</w:t>
      </w:r>
      <w:bookmarkEnd w:id="4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45"/>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5"/>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5"/>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5"/>
              </w:numPr>
              <w:spacing w:before="0" w:after="0"/>
              <w:ind w:hanging="210"/>
              <w:jc w:val="left"/>
              <w:rPr>
                <w:szCs w:val="24"/>
              </w:rPr>
            </w:pPr>
            <w:r>
              <w:rPr>
                <w:szCs w:val="24"/>
              </w:rPr>
              <w:t>Мярка 6 „Развитие на стопанства и предприятия“</w:t>
            </w:r>
          </w:p>
          <w:p w:rsidR="00A1205A" w:rsidRDefault="009E0DC1" w:rsidP="009E0DC1">
            <w:pPr>
              <w:numPr>
                <w:ilvl w:val="0"/>
                <w:numId w:val="45"/>
              </w:numPr>
              <w:spacing w:before="0" w:after="0"/>
              <w:ind w:hanging="210"/>
              <w:jc w:val="left"/>
              <w:rPr>
                <w:szCs w:val="24"/>
              </w:rPr>
            </w:pPr>
            <w:r>
              <w:rPr>
                <w:szCs w:val="24"/>
              </w:rPr>
              <w:t>Мярка 9 „Създаване на групи и организации на производителите“</w:t>
            </w:r>
          </w:p>
          <w:p w:rsidR="00A1205A" w:rsidRDefault="009E0DC1" w:rsidP="009E0DC1">
            <w:pPr>
              <w:numPr>
                <w:ilvl w:val="0"/>
                <w:numId w:val="45"/>
              </w:numPr>
              <w:spacing w:before="0" w:after="0"/>
              <w:ind w:hanging="210"/>
              <w:jc w:val="left"/>
              <w:rPr>
                <w:szCs w:val="24"/>
              </w:rPr>
            </w:pPr>
            <w:r>
              <w:rPr>
                <w:szCs w:val="24"/>
              </w:rPr>
              <w:t>Мярка 14 „Хуманно отношение към животните“</w:t>
            </w:r>
          </w:p>
          <w:p w:rsidR="00A1205A" w:rsidRDefault="009E0DC1" w:rsidP="009E0DC1">
            <w:pPr>
              <w:numPr>
                <w:ilvl w:val="0"/>
                <w:numId w:val="45"/>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50" w:name="_Toc256000049"/>
      <w:r>
        <w:t>Връзка между критериите за преценка, общите и допълнителните показатели за резултатите, използвани за отговор на ОВО</w:t>
      </w:r>
      <w:bookmarkEnd w:id="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Нараснало е въвеждането на схеми за качество сред първичните производители</w:t>
            </w:r>
          </w:p>
        </w:tc>
        <w:tc>
          <w:tcPr>
            <w:tcW w:w="1650" w:type="pct"/>
            <w:shd w:val="clear" w:color="auto" w:fill="FFFFFF"/>
            <w:tcMar>
              <w:top w:w="20" w:type="dxa"/>
              <w:left w:w="20" w:type="dxa"/>
              <w:bottom w:w="20" w:type="dxa"/>
            </w:tcMar>
          </w:tcPr>
          <w:p w:rsidR="00A1205A" w:rsidRDefault="009E0DC1">
            <w:pPr>
              <w:jc w:val="left"/>
              <w:rPr>
                <w:sz w:val="16"/>
              </w:rPr>
            </w:pPr>
            <w:r>
              <w:rPr>
                <w:sz w:val="16"/>
              </w:rPr>
              <w:t>R4 / 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Увеличило се е участието на първични производители в схеми за къса верига на доставките, ориентирани към качеството производителски групи и/или междусекторни организации</w:t>
            </w:r>
          </w:p>
        </w:tc>
        <w:tc>
          <w:tcPr>
            <w:tcW w:w="1650" w:type="pct"/>
            <w:shd w:val="clear" w:color="auto" w:fill="FFFFFF"/>
            <w:tcMar>
              <w:top w:w="20" w:type="dxa"/>
              <w:left w:w="20" w:type="dxa"/>
              <w:bottom w:w="20" w:type="dxa"/>
            </w:tcMar>
          </w:tcPr>
          <w:p w:rsidR="00A1205A" w:rsidRDefault="009E0DC1">
            <w:pPr>
              <w:jc w:val="left"/>
              <w:rPr>
                <w:sz w:val="16"/>
              </w:rPr>
            </w:pPr>
            <w:r>
              <w:rPr>
                <w:sz w:val="16"/>
              </w:rPr>
              <w:t>R4 / 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Подобрила се е конкурентоспособността на подпомаганите първични производители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Селскостопанска продукция на получаващите подкрепа стопанства</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 се е дялът от крайната цена на селскостопанските продукти, който остава за първичните производители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Марж на първичните производители в окончателната цена на селскостопанската продукция</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Повишила се е добавената стойност на селскостопанските продукти на първичните производители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51" w:name="_Toc256000050"/>
      <w:r>
        <w:t>Прилагани методи</w:t>
      </w:r>
      <w:bookmarkEnd w:id="5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52" w:name="_Toc256000051"/>
      <w:r>
        <w:t>Количествени стойности на показателите и източници на данни</w:t>
      </w:r>
      <w:bookmarkEnd w:id="5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842"/>
        <w:gridCol w:w="1070"/>
        <w:gridCol w:w="871"/>
        <w:gridCol w:w="852"/>
        <w:gridCol w:w="852"/>
        <w:gridCol w:w="3966"/>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R4 / 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Марж на първичните производители в окончателната цена на селскостопанската продукция</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Селскостопанска продукция на получаващите подкрепа стопанства</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53" w:name="_Toc256000052"/>
      <w:r>
        <w:t>Идентифицирани проблеми, които влияят върху действителността и надеждността на констатациите от оценката</w:t>
      </w:r>
      <w:bookmarkEnd w:id="5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54" w:name="_Toc256000053"/>
      <w:r>
        <w:t>Отговор на въпрос за оценка</w:t>
      </w:r>
      <w:bookmarkEnd w:id="5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В рамките на Област с поставен акцент 3А на ПРСР са предвидени общо 272 554 037 евро от бюджета на ПРСР. Чрез заложените средства се предвижда да бъдe оказан ефект по отношение на подобряване на вертикалното и хоризонталното сътрудничество между земеделските производители, преработватели и търговци, ускоряване на иновациите, подобряване на енергийната ефективност и технологичното обновление в хранителната промишленост както и за скъсяване веригите на доставки, насърчаване на местните пазари и подобряване на маркетинга на земеделски продукти.</w:t>
            </w:r>
          </w:p>
          <w:p w:rsidR="00A1205A" w:rsidRDefault="009E0DC1">
            <w:pPr>
              <w:spacing w:before="240" w:after="240"/>
              <w:jc w:val="left"/>
              <w:rPr>
                <w:szCs w:val="24"/>
              </w:rPr>
            </w:pPr>
            <w:r>
              <w:rPr>
                <w:szCs w:val="24"/>
              </w:rPr>
              <w:t>Постигането на желания ефект е предвидено чрез прилаганете на шест мерки, включени в ПРСР а именно:</w:t>
            </w:r>
          </w:p>
          <w:p w:rsidR="00A1205A" w:rsidRDefault="009E0DC1" w:rsidP="009E0DC1">
            <w:pPr>
              <w:numPr>
                <w:ilvl w:val="0"/>
                <w:numId w:val="46"/>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6"/>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6"/>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6"/>
              </w:numPr>
              <w:spacing w:before="0" w:after="0"/>
              <w:ind w:hanging="210"/>
              <w:jc w:val="left"/>
              <w:rPr>
                <w:szCs w:val="24"/>
              </w:rPr>
            </w:pPr>
            <w:r>
              <w:rPr>
                <w:szCs w:val="24"/>
              </w:rPr>
              <w:t>Мярка 6 „Развитие на стопанства и предприятия“</w:t>
            </w:r>
          </w:p>
          <w:p w:rsidR="00A1205A" w:rsidRDefault="009E0DC1" w:rsidP="009E0DC1">
            <w:pPr>
              <w:numPr>
                <w:ilvl w:val="0"/>
                <w:numId w:val="46"/>
              </w:numPr>
              <w:spacing w:before="0" w:after="0"/>
              <w:ind w:hanging="210"/>
              <w:jc w:val="left"/>
              <w:rPr>
                <w:szCs w:val="24"/>
              </w:rPr>
            </w:pPr>
            <w:r>
              <w:rPr>
                <w:szCs w:val="24"/>
              </w:rPr>
              <w:t>Мярка 9 „Създаване на групи и организации на производителите“</w:t>
            </w:r>
          </w:p>
          <w:p w:rsidR="00A1205A" w:rsidRDefault="009E0DC1" w:rsidP="009E0DC1">
            <w:pPr>
              <w:numPr>
                <w:ilvl w:val="0"/>
                <w:numId w:val="46"/>
              </w:numPr>
              <w:spacing w:before="0" w:after="0"/>
              <w:ind w:hanging="210"/>
              <w:jc w:val="left"/>
              <w:rPr>
                <w:szCs w:val="24"/>
              </w:rPr>
            </w:pPr>
            <w:r>
              <w:rPr>
                <w:szCs w:val="24"/>
              </w:rPr>
              <w:t>Мярка 14 „Хуманно отношение към животните“</w:t>
            </w:r>
          </w:p>
          <w:p w:rsidR="00A1205A" w:rsidRDefault="009E0DC1" w:rsidP="009E0DC1">
            <w:pPr>
              <w:numPr>
                <w:ilvl w:val="0"/>
                <w:numId w:val="46"/>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Към 31 декември 2016 г. е стартирано изпълнението на подмярка 4.2 „Инвестиции в преработка/маркетинг на селскостопански продукти“ въз основа на обработка на заявления за подпомагане, постъпили в рамките на приема на заявления проведен в края на 2015 г.</w:t>
            </w:r>
          </w:p>
          <w:p w:rsidR="00A1205A" w:rsidRDefault="009E0DC1">
            <w:pPr>
              <w:spacing w:before="240" w:after="240"/>
              <w:jc w:val="left"/>
              <w:rPr>
                <w:szCs w:val="24"/>
              </w:rPr>
            </w:pPr>
            <w:r>
              <w:rPr>
                <w:szCs w:val="24"/>
              </w:rPr>
              <w:t>За да се насочат целесъобразно средствата, програмирани в подмярката в съответствие с изведените нужди са заложени специфични условия за прилагане, насърчаващи взаимовръзката между земеделския стопанин и преработвателното предприятия. Също така в рамките на подмярката се предоставя възможност за реализиране с предимство на инвестиции във внедряване на иновативни технологии, включително такива водещи до повишаване на енергийната ефективност. Подмярката предоставя възможност за добавяне на стойност към селскостопански продукти и спомага за по-лесното интегриране на селскостопанския производител на пазара на храни. Осигурена е възможност за получаване на подпомагане с предимство на проектни предложения, предвиждащи преработка на биологични суровини както за проектни предложения, реализирани на територията на селски райони или северозападен регион на страната.</w:t>
            </w:r>
          </w:p>
          <w:p w:rsidR="00A1205A" w:rsidRDefault="009E0DC1">
            <w:pPr>
              <w:spacing w:before="240" w:after="240"/>
              <w:jc w:val="left"/>
              <w:rPr>
                <w:szCs w:val="24"/>
              </w:rPr>
            </w:pPr>
            <w:r>
              <w:rPr>
                <w:szCs w:val="24"/>
              </w:rPr>
              <w:t>В рамките на проведения прием в края на 2015 г. са подадени общо 597 заявления за предоставяне на финансова помощ. Размерът на заявените разходи от страна на кандидатите възлиза на 848 672 524 евро, а размера на заявената финансова помощ 420 829 213 евро. Средния размер на заявените разходи по един проект възлиза на 1, 421 млн. евро, което представлява значително увеличение спрямо заявените разходи по аналогичната мярка 123 „Добавяне на стойност към земеделски и горски продукти“ от предходния програмен период. Нарастването на средния размер на инвестиции може да се обясни от една страна с наличието на възможност за реализиране на инвестиции в преработка/маркетинг на селскостопански продукти“ от страна на малки земеделски стопани по подмярка 4.2.2 от Тематичната подпрограма за малки земеделски стопанства и от друга поради избора за неприлагане на режима „</w:t>
            </w:r>
            <w:r>
              <w:rPr>
                <w:i/>
                <w:iCs/>
                <w:szCs w:val="24"/>
              </w:rPr>
              <w:t>de minimis</w:t>
            </w:r>
            <w:r>
              <w:rPr>
                <w:szCs w:val="24"/>
              </w:rPr>
              <w:t>“ в случаите, когато кандидатите предвиждат производството на продукт извън Приложение I от Договора.</w:t>
            </w:r>
          </w:p>
          <w:p w:rsidR="00A1205A" w:rsidRDefault="009E0DC1">
            <w:pPr>
              <w:spacing w:before="240" w:after="240"/>
              <w:jc w:val="left"/>
              <w:rPr>
                <w:szCs w:val="24"/>
              </w:rPr>
            </w:pPr>
            <w:r>
              <w:rPr>
                <w:szCs w:val="24"/>
              </w:rPr>
              <w:t>В резултат на обработка на постъпилите проектни предложения към 31 декември 2016 г. по подмярката са сключени общо 173 договора за предоставяне на финансова помощ с общ размер на одобрените инвестициите от  245 928 321 евро. Одобрената финансова помощ по съответните договори е в размер на 122 051 593 евро, от които 112 112 596 в рамките на фокус област 3А. Всеки един от одобрените проекти, превижда преработка на продукти от приоритетните за подпомагане сектори а именно плодове и зеленчуци, животински продукти или етерично-маслени култури. От одобрените проектни предложения 24 предвиждат преработка на биологични суровини. От сключените договори 68 са със земеделски производители за добавяне на стойност към произвежданата от тях продукция. От сключените договори 164 се изпълняват на територията на селски райони в страната. 47 е броят на одобрените новосъздадени предприятия спрямо 126 предприятия, получатели на помощта извършващи дейност. От сключените 173 договора за подпомагане 23 се изпълняват на територията на северозападен регион на страната.</w:t>
            </w:r>
          </w:p>
          <w:p w:rsidR="00A1205A" w:rsidRDefault="009E0DC1">
            <w:pPr>
              <w:spacing w:before="240" w:after="240"/>
              <w:jc w:val="left"/>
              <w:rPr>
                <w:szCs w:val="24"/>
              </w:rPr>
            </w:pPr>
            <w:r>
              <w:rPr>
                <w:szCs w:val="24"/>
              </w:rPr>
              <w:t>Към 31 декември 2016 г. са извършени общо 9 плащания към ползватели на финансова помощ по съответните сключени договори в размер на общо 2 611 263 евро публични разходи. Към края на годината не са заявени приключени проекти, респективно не са подавани заявки за окончателни плащания в резултат на което липсват окончателни данни от проекти, въведени в експлоатация, които да бъдат анализирани. Това се дължи от една страна на сложността на проектите и по-дългото време, необходимо за тяхното разглеждане поради което договорирането стартира през вторатата половина на 2016 г. От друга страна договорените проекти в по-голямата си част включват строително монтажни работи, което налага и по – дълги срокове за тяхното изпълнение.</w:t>
            </w:r>
          </w:p>
          <w:p w:rsidR="00A1205A" w:rsidRDefault="009E0DC1">
            <w:pPr>
              <w:spacing w:before="240" w:after="240"/>
              <w:jc w:val="left"/>
              <w:rPr>
                <w:szCs w:val="24"/>
              </w:rPr>
            </w:pPr>
            <w:r>
              <w:rPr>
                <w:szCs w:val="24"/>
              </w:rPr>
              <w:t>Нивото на изпълнение на Област 3А по отношение на планирания размер на договорени средства към 31 декември 2016 г. възлиза на 41.13 % въз основа на поети ангажименти по подмярка 4.2 „Инвестиции в преработка/маркетинг на селскостопански продукти“ в размер на 112 112 596 евро, представляващи 58.42 % от планираните средства от ЕЗФРСР по подмярката в рамките на съответната област на въздействие.</w:t>
            </w:r>
          </w:p>
          <w:p w:rsidR="00A1205A" w:rsidRDefault="009E0DC1">
            <w:pPr>
              <w:spacing w:before="240" w:after="240"/>
              <w:jc w:val="left"/>
              <w:rPr>
                <w:szCs w:val="24"/>
              </w:rPr>
            </w:pPr>
            <w:r>
              <w:rPr>
                <w:szCs w:val="24"/>
              </w:rPr>
              <w:t>По отношение на целевият индикатор „Процент на земеделските стопанства, получаващи подпомагане по схеми за качество, местни пазари и къси вериги на доставки и групи/организации на прозводителите“ към 31 декември 2016 г. не отбелязан напредък поради факта, че не са стартирани мерки 9 „Създаване на групи/организации на производители“ и мярка 16 „Сътрудничество“, които оказват влияние на заложения показател.</w:t>
            </w:r>
          </w:p>
          <w:p w:rsidR="00A1205A" w:rsidRDefault="009E0DC1">
            <w:pPr>
              <w:spacing w:before="240" w:after="240"/>
              <w:jc w:val="left"/>
              <w:rPr>
                <w:szCs w:val="24"/>
              </w:rPr>
            </w:pPr>
            <w:r>
              <w:rPr>
                <w:szCs w:val="24"/>
              </w:rPr>
              <w:t>Въпреки, че към 31 декември 2016 г.  мярката 9 „Създаване на групи/организации на производители“ все още не е стартирана от началото на програмния период се отбелязва сериозен интерес от страна на българските земеделски производители за коопериране помежду им, като към месец май 2017 г. броят на официално признатите групи/организации на призводителите от министъра на земеделието, храните и горите възлиза на 72 и продължава да нараства. Тази тенденция предполага предприемането на действия от страна на УО за подготовка и стартиране на мярка 9 през 2017 г., като се вземе под внимание пет годишния период на подпомагане при склюването на договор за финансова помощ.</w:t>
            </w:r>
          </w:p>
          <w:p w:rsidR="00A1205A" w:rsidRDefault="009E0DC1">
            <w:pPr>
              <w:spacing w:before="240" w:after="240"/>
              <w:jc w:val="left"/>
              <w:rPr>
                <w:szCs w:val="24"/>
              </w:rPr>
            </w:pPr>
            <w:r>
              <w:rPr>
                <w:szCs w:val="24"/>
              </w:rPr>
              <w:t>В заключение въз основа на липсата на стартирани приеми по отделните мерки/подмерки, допринасящи за изпълнение на фокус област 3А с изключение на подмярка 4.2, както и твърде ранния етап за финализиране на инвестициионните проекти за преработка/маркетинг на селскостопански продукти, изпълнявани по подмярка 4.2 следва да се отбележи, че към края на 2016 г. не е отбелязан сериозен напредък към подобряването на конкурентоспособността на подпомаганите първични производители чрез по-доброто им интегриране в селскостопанската и хранителната верига чрез схеми за качество, чрез добавяне на стойност към селскостопанските продукти, популяризиране на местните пазари и къси вериги на доставки, групи на производителите и организации и междубраншови организации. Отчитайки ключовата роля на подмярка 4.2 и отчетеният висок интерес от кандидатите, следва да се анализира възможността за осигуряването на допълнителни средства за подкрепа на операции за преработка и маркетинг на селскостопански продукти в рамките на разполагаемия бюджет на мярка 4, за сметка на нестартиралите подмерки.</w:t>
            </w:r>
          </w:p>
          <w:p w:rsidR="00A1205A" w:rsidRDefault="00A1205A">
            <w:pPr>
              <w:pStyle w:val="BodyText"/>
            </w:pPr>
          </w:p>
        </w:tc>
      </w:tr>
    </w:tbl>
    <w:p w:rsidR="00A1205A" w:rsidRDefault="009E0DC1">
      <w:pPr>
        <w:pStyle w:val="Heading3"/>
        <w:jc w:val="left"/>
      </w:pPr>
      <w:bookmarkStart w:id="55" w:name="_Toc256000054"/>
      <w:r>
        <w:t>Заключения и препоръки</w:t>
      </w:r>
      <w:bookmarkEnd w:id="55"/>
    </w:p>
    <w:p w:rsidR="00A1205A" w:rsidRDefault="009E0DC1">
      <w:pPr>
        <w:pStyle w:val="Heading2"/>
      </w:pPr>
      <w:bookmarkStart w:id="56" w:name="_Toc256000055"/>
      <w:r>
        <w:t>CEQ08-4A - До каква степен интервенциите по ПРСР са подпомогнали възстановяването, запазването и укрепването на биологичното разнообразие, включително в зони по „Натура 2000“, области с природни или други специфични ограничения, както и земеделието с висока природна стойност, както и състоянието на европейския ландшафт?</w:t>
      </w:r>
      <w:bookmarkEnd w:id="56"/>
    </w:p>
    <w:p w:rsidR="00A1205A" w:rsidRDefault="009E0DC1">
      <w:pPr>
        <w:pStyle w:val="Heading3"/>
        <w:jc w:val="left"/>
      </w:pPr>
      <w:r>
        <w:br w:type="page"/>
      </w:r>
      <w:bookmarkStart w:id="57" w:name="_Toc256000056"/>
      <w:r>
        <w:t>Списък на мерките, допринасящи за акцентираната област</w:t>
      </w:r>
      <w:bookmarkEnd w:id="5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47"/>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7"/>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7"/>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7"/>
              </w:numPr>
              <w:spacing w:before="0" w:after="0"/>
              <w:ind w:hanging="210"/>
              <w:jc w:val="left"/>
              <w:rPr>
                <w:szCs w:val="24"/>
              </w:rPr>
            </w:pPr>
            <w:r>
              <w:rPr>
                <w:szCs w:val="24"/>
              </w:rPr>
              <w:t>Мярка 10 „Агроекология и климат“</w:t>
            </w:r>
          </w:p>
          <w:p w:rsidR="00A1205A" w:rsidRDefault="009E0DC1" w:rsidP="009E0DC1">
            <w:pPr>
              <w:numPr>
                <w:ilvl w:val="0"/>
                <w:numId w:val="47"/>
              </w:numPr>
              <w:spacing w:before="0" w:after="0"/>
              <w:ind w:hanging="210"/>
              <w:jc w:val="left"/>
              <w:rPr>
                <w:szCs w:val="24"/>
              </w:rPr>
            </w:pPr>
            <w:r>
              <w:rPr>
                <w:szCs w:val="24"/>
              </w:rPr>
              <w:t>Мярка 11 „Биологично земеделие“</w:t>
            </w:r>
          </w:p>
          <w:p w:rsidR="00A1205A" w:rsidRDefault="009E0DC1" w:rsidP="009E0DC1">
            <w:pPr>
              <w:numPr>
                <w:ilvl w:val="0"/>
                <w:numId w:val="47"/>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47"/>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A1205A" w:rsidRDefault="009E0DC1" w:rsidP="009E0DC1">
            <w:pPr>
              <w:numPr>
                <w:ilvl w:val="0"/>
                <w:numId w:val="47"/>
              </w:numPr>
              <w:spacing w:before="0" w:after="0"/>
              <w:ind w:hanging="210"/>
              <w:jc w:val="left"/>
              <w:rPr>
                <w:szCs w:val="24"/>
              </w:rPr>
            </w:pPr>
            <w:r>
              <w:rPr>
                <w:szCs w:val="24"/>
              </w:rPr>
              <w:t>Мярка 16 „Сътрудничество“</w:t>
            </w:r>
          </w:p>
          <w:p w:rsidR="00A1205A" w:rsidRDefault="009E0DC1" w:rsidP="009E0DC1">
            <w:pPr>
              <w:numPr>
                <w:ilvl w:val="0"/>
                <w:numId w:val="47"/>
              </w:numPr>
              <w:spacing w:before="0" w:after="0"/>
              <w:ind w:hanging="210"/>
              <w:jc w:val="left"/>
              <w:rPr>
                <w:szCs w:val="24"/>
              </w:rPr>
            </w:pPr>
            <w:r>
              <w:rPr>
                <w:szCs w:val="24"/>
              </w:rPr>
              <w:t>Мярка 8 „Инвестиции в развитие на горските райони и подобряване на жизнеспособността на горите“</w:t>
            </w:r>
          </w:p>
          <w:p w:rsidR="00A1205A" w:rsidRDefault="009E0DC1" w:rsidP="009E0DC1">
            <w:pPr>
              <w:numPr>
                <w:ilvl w:val="0"/>
                <w:numId w:val="47"/>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47"/>
              </w:numPr>
              <w:spacing w:before="0" w:after="240"/>
              <w:ind w:hanging="210"/>
              <w:jc w:val="left"/>
              <w:rPr>
                <w:szCs w:val="24"/>
              </w:rPr>
            </w:pPr>
            <w:r>
              <w:rPr>
                <w:szCs w:val="24"/>
              </w:rPr>
              <w:t>Мярка 15 „Екологични услуги и услуги във връзка с климата в горското стопанство и опазване на горите“</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58" w:name="_Toc256000057"/>
      <w:r>
        <w:t>Връзка между критериите за преценка, общите и допълнителните показатели за резултатите, използвани за отговор на ОВО</w:t>
      </w:r>
      <w:bookmarkEnd w:id="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Биологичното разнообразие на земята, предоставяна по договори, е възстановено, опазено и подобрено</w:t>
            </w:r>
          </w:p>
        </w:tc>
        <w:tc>
          <w:tcPr>
            <w:tcW w:w="1650" w:type="pct"/>
            <w:shd w:val="clear" w:color="auto" w:fill="FFFFFF"/>
            <w:tcMar>
              <w:top w:w="20" w:type="dxa"/>
              <w:left w:w="20" w:type="dxa"/>
              <w:bottom w:w="20" w:type="dxa"/>
            </w:tcMar>
          </w:tcPr>
          <w:p w:rsidR="00A1205A" w:rsidRDefault="009E0DC1">
            <w:pPr>
              <w:jc w:val="left"/>
              <w:rPr>
                <w:sz w:val="16"/>
              </w:rPr>
            </w:pPr>
            <w:r>
              <w:rPr>
                <w:sz w:val="16"/>
              </w:rPr>
              <w:t>R6 / 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Биологичното разнообразие на земята, предоставяна по договори, е възстановено, опазено и подобрено</w:t>
            </w:r>
          </w:p>
        </w:tc>
        <w:tc>
          <w:tcPr>
            <w:tcW w:w="1650" w:type="pct"/>
            <w:shd w:val="clear" w:color="auto" w:fill="FFFFFF"/>
            <w:tcMar>
              <w:top w:w="20" w:type="dxa"/>
              <w:left w:w="20" w:type="dxa"/>
              <w:bottom w:w="20" w:type="dxa"/>
            </w:tcMar>
          </w:tcPr>
          <w:p w:rsidR="00A1205A" w:rsidRDefault="009E0DC1">
            <w:pPr>
              <w:jc w:val="left"/>
              <w:rPr>
                <w:sz w:val="16"/>
              </w:rPr>
            </w:pPr>
            <w:r>
              <w:rPr>
                <w:sz w:val="16"/>
              </w:rPr>
              <w:t>R7 / 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59" w:name="_Toc256000058"/>
      <w:r>
        <w:t>Прилагани методи</w:t>
      </w:r>
      <w:bookmarkEnd w:id="5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60" w:name="_Toc256000059"/>
      <w:r>
        <w:t>Количествени стойности на показателите и източници на данни</w:t>
      </w:r>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2017"/>
        <w:gridCol w:w="1070"/>
        <w:gridCol w:w="871"/>
        <w:gridCol w:w="852"/>
        <w:gridCol w:w="852"/>
        <w:gridCol w:w="3966"/>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R6 / 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R7 / 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61" w:name="_Toc256000060"/>
      <w:r>
        <w:t>Идентифицирани проблеми, които влияят върху действителността и надеждността на констатациите от оценката</w:t>
      </w:r>
      <w:bookmarkEnd w:id="6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62" w:name="_Toc256000061"/>
      <w:r>
        <w:t>Отговор на въпрос за оценка</w:t>
      </w:r>
      <w:bookmarkEnd w:id="6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Приоритет 4 е в размер на 983 098 023 евро. ПРСР предвижда изпълнението на Област с поставен акцент 4А от Приоритет 4 да се постигне посредством прилагането на следните мерки:</w:t>
            </w:r>
          </w:p>
          <w:p w:rsidR="00A1205A" w:rsidRDefault="009E0DC1" w:rsidP="009E0DC1">
            <w:pPr>
              <w:numPr>
                <w:ilvl w:val="0"/>
                <w:numId w:val="48"/>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8"/>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8"/>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8"/>
              </w:numPr>
              <w:spacing w:before="0" w:after="0"/>
              <w:ind w:hanging="210"/>
              <w:jc w:val="left"/>
              <w:rPr>
                <w:szCs w:val="24"/>
              </w:rPr>
            </w:pPr>
            <w:r>
              <w:rPr>
                <w:szCs w:val="24"/>
              </w:rPr>
              <w:t>Мярка 10 „Агроекология и климат“</w:t>
            </w:r>
          </w:p>
          <w:p w:rsidR="00A1205A" w:rsidRDefault="009E0DC1" w:rsidP="009E0DC1">
            <w:pPr>
              <w:numPr>
                <w:ilvl w:val="0"/>
                <w:numId w:val="48"/>
              </w:numPr>
              <w:spacing w:before="0" w:after="0"/>
              <w:ind w:hanging="210"/>
              <w:jc w:val="left"/>
              <w:rPr>
                <w:szCs w:val="24"/>
              </w:rPr>
            </w:pPr>
            <w:r>
              <w:rPr>
                <w:szCs w:val="24"/>
              </w:rPr>
              <w:t>Мярка 11 „Биологично земеделие“</w:t>
            </w:r>
          </w:p>
          <w:p w:rsidR="00A1205A" w:rsidRDefault="009E0DC1" w:rsidP="009E0DC1">
            <w:pPr>
              <w:numPr>
                <w:ilvl w:val="0"/>
                <w:numId w:val="48"/>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48"/>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A1205A" w:rsidRDefault="009E0DC1" w:rsidP="009E0DC1">
            <w:pPr>
              <w:numPr>
                <w:ilvl w:val="0"/>
                <w:numId w:val="48"/>
              </w:numPr>
              <w:spacing w:before="0" w:after="0"/>
              <w:ind w:hanging="210"/>
              <w:jc w:val="left"/>
              <w:rPr>
                <w:szCs w:val="24"/>
              </w:rPr>
            </w:pPr>
            <w:r>
              <w:rPr>
                <w:szCs w:val="24"/>
              </w:rPr>
              <w:t>Мярка 16 „Сътрудничество“</w:t>
            </w:r>
          </w:p>
          <w:p w:rsidR="00A1205A" w:rsidRDefault="009E0DC1" w:rsidP="009E0DC1">
            <w:pPr>
              <w:numPr>
                <w:ilvl w:val="0"/>
                <w:numId w:val="48"/>
              </w:numPr>
              <w:spacing w:before="0" w:after="0"/>
              <w:ind w:hanging="210"/>
              <w:jc w:val="left"/>
              <w:rPr>
                <w:szCs w:val="24"/>
              </w:rPr>
            </w:pPr>
            <w:r>
              <w:rPr>
                <w:szCs w:val="24"/>
              </w:rPr>
              <w:t>Мярка 8 „Инвестиции в развитие на горските райони и подобряване на жизнеспособността на горите“</w:t>
            </w:r>
          </w:p>
          <w:p w:rsidR="00A1205A" w:rsidRDefault="009E0DC1" w:rsidP="009E0DC1">
            <w:pPr>
              <w:numPr>
                <w:ilvl w:val="0"/>
                <w:numId w:val="48"/>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48"/>
              </w:numPr>
              <w:spacing w:before="0" w:after="240"/>
              <w:ind w:hanging="210"/>
              <w:jc w:val="left"/>
              <w:rPr>
                <w:szCs w:val="24"/>
              </w:rPr>
            </w:pPr>
            <w:r>
              <w:rPr>
                <w:szCs w:val="24"/>
              </w:rPr>
              <w:t>Мярка 15 „Екологични услуги и услуги във връзка с климата в горското стопанство и опазване на горите“</w:t>
            </w:r>
          </w:p>
          <w:p w:rsidR="00A1205A" w:rsidRDefault="009E0DC1">
            <w:pPr>
              <w:spacing w:before="240" w:after="240"/>
              <w:jc w:val="left"/>
              <w:rPr>
                <w:szCs w:val="24"/>
              </w:rPr>
            </w:pPr>
            <w:r>
              <w:rPr>
                <w:szCs w:val="24"/>
              </w:rPr>
              <w:t>Към 31 декември 2016 г. е отбелязан напредък по отношение на изпълнението на фокус област 4А посредством стартирането и изпълнението на мярка 10 „Агроекология и климат“, мярка 11 „Биологично земеделие“, мярка 12 „Плащания по Натура 2000 и Рамковата директива за водите“ и мярка 13 „Плащания за райони, изправени пред природни или други специфични ограничения“.</w:t>
            </w:r>
          </w:p>
          <w:p w:rsidR="00A1205A" w:rsidRDefault="009E0DC1">
            <w:pPr>
              <w:spacing w:before="240" w:after="240"/>
              <w:jc w:val="left"/>
              <w:rPr>
                <w:szCs w:val="24"/>
              </w:rPr>
            </w:pPr>
            <w:r>
              <w:rPr>
                <w:szCs w:val="24"/>
              </w:rPr>
              <w:t>От стартиране на ПРСР през 2015 г. са проведени две кампании за прием на зявления /2015 г. и 2016 г./, в рамките на които е предоставена възможност за подаване на заявления по съответните мерки. В резултат на проведените приеми към 31 декември 2016 г. са одобрени общо 53 825 заявления за подпомагане. Общият размер на договорените средства по мерки 10, 11, 12 и 13 към 31 декември 2016 г. възлиза на 304 004 695 евро или приблизително 30 % от планирания ресурс в рамките на Приоритет 4.</w:t>
            </w:r>
          </w:p>
          <w:p w:rsidR="00A1205A" w:rsidRDefault="009E0DC1">
            <w:pPr>
              <w:spacing w:before="240" w:after="240"/>
              <w:jc w:val="left"/>
              <w:rPr>
                <w:szCs w:val="24"/>
              </w:rPr>
            </w:pPr>
            <w:r>
              <w:rPr>
                <w:szCs w:val="24"/>
              </w:rPr>
              <w:t>Процентът на земеделската земя, обхваната от договори за управление в подкрепа на биологичното разнообразие и/или ландшати в следствие на поети ангажименти към 31 декември 2016 г. възлиза на 15.18 % спрямо планираните 12 % въз основа на което е на лице преизпълнение на поставените цели по отношение на изпълнението на фокус областта.</w:t>
            </w:r>
          </w:p>
          <w:p w:rsidR="00A1205A" w:rsidRDefault="009E0DC1">
            <w:pPr>
              <w:spacing w:before="240" w:after="240"/>
              <w:jc w:val="left"/>
              <w:rPr>
                <w:szCs w:val="24"/>
              </w:rPr>
            </w:pPr>
            <w:r>
              <w:rPr>
                <w:szCs w:val="24"/>
              </w:rPr>
              <w:t>В рамките на първите две години от прилагане на ПРСР 2014-2020 се отчита тенденция за активно участието на земеделските стопани в мерките насочени към подобряването на компонентите на околната среда. Този висок интерес е продължение на отчетения такъв по сходните мерки от ПРСР 2007-2013. Като цяло се наблюдава сравнително стабилна тенденция на увеличаване броя на земеделските стопани и подпомаганите площи по отделните мерки, което от своя страна има благоприятен ефект върху общата цел за устойчивото управление на природните ресурси.</w:t>
            </w:r>
          </w:p>
          <w:p w:rsidR="00A1205A" w:rsidRDefault="009E0DC1">
            <w:pPr>
              <w:spacing w:before="240" w:after="240"/>
              <w:jc w:val="left"/>
              <w:rPr>
                <w:szCs w:val="24"/>
              </w:rPr>
            </w:pPr>
            <w:r>
              <w:rPr>
                <w:szCs w:val="24"/>
              </w:rPr>
              <w:t>От друга страна към 31 декември 2016 г. не е отбелязан напредък по отношение на горски или други залесени площи, обхваната от договори за управление в подкрепа на биологичното разнообразие и/или ландшати поради нестартиране на предвидените горски мерки в рамките на ПРСР във връзка със заложения индиктор в рамките на фокус областта.</w:t>
            </w:r>
          </w:p>
          <w:p w:rsidR="00A1205A" w:rsidRDefault="00A1205A">
            <w:pPr>
              <w:pStyle w:val="BodyText"/>
            </w:pPr>
          </w:p>
        </w:tc>
      </w:tr>
    </w:tbl>
    <w:p w:rsidR="00A1205A" w:rsidRDefault="009E0DC1">
      <w:pPr>
        <w:pStyle w:val="Heading3"/>
        <w:jc w:val="left"/>
      </w:pPr>
      <w:bookmarkStart w:id="63" w:name="_Toc256000062"/>
      <w:r>
        <w:t>Заключения и препоръки</w:t>
      </w:r>
      <w:bookmarkEnd w:id="63"/>
    </w:p>
    <w:p w:rsidR="00A1205A" w:rsidRDefault="009E0DC1">
      <w:pPr>
        <w:pStyle w:val="Heading2"/>
      </w:pPr>
      <w:bookmarkStart w:id="64" w:name="_Toc256000063"/>
      <w:r>
        <w:t>CEQ09-4B - До каква степен интервенциите по ПРСР са подпомогнали подобряването на управлението на водите, включително управлението на торовете и пестицидите?</w:t>
      </w:r>
      <w:bookmarkEnd w:id="64"/>
    </w:p>
    <w:p w:rsidR="00A1205A" w:rsidRDefault="009E0DC1">
      <w:pPr>
        <w:pStyle w:val="Heading3"/>
        <w:jc w:val="left"/>
      </w:pPr>
      <w:r>
        <w:br w:type="page"/>
      </w:r>
      <w:bookmarkStart w:id="65" w:name="_Toc256000064"/>
      <w:r>
        <w:t>Списък на мерките, допринасящи за акцентираната област</w:t>
      </w:r>
      <w:bookmarkEnd w:id="6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49"/>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49"/>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49"/>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49"/>
              </w:numPr>
              <w:spacing w:before="0" w:after="0"/>
              <w:ind w:hanging="210"/>
              <w:jc w:val="left"/>
              <w:rPr>
                <w:szCs w:val="24"/>
              </w:rPr>
            </w:pPr>
            <w:r>
              <w:rPr>
                <w:szCs w:val="24"/>
              </w:rPr>
              <w:t>Мярка 10 „Агроекология и климат“</w:t>
            </w:r>
          </w:p>
          <w:p w:rsidR="00A1205A" w:rsidRDefault="009E0DC1" w:rsidP="009E0DC1">
            <w:pPr>
              <w:numPr>
                <w:ilvl w:val="0"/>
                <w:numId w:val="49"/>
              </w:numPr>
              <w:spacing w:before="0" w:after="0"/>
              <w:ind w:hanging="210"/>
              <w:jc w:val="left"/>
              <w:rPr>
                <w:szCs w:val="24"/>
              </w:rPr>
            </w:pPr>
            <w:r>
              <w:rPr>
                <w:szCs w:val="24"/>
              </w:rPr>
              <w:t>Мярка 11 „Биологично земеделие“</w:t>
            </w:r>
          </w:p>
          <w:p w:rsidR="00A1205A" w:rsidRDefault="009E0DC1" w:rsidP="009E0DC1">
            <w:pPr>
              <w:numPr>
                <w:ilvl w:val="0"/>
                <w:numId w:val="49"/>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49"/>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A1205A" w:rsidRDefault="009E0DC1" w:rsidP="009E0DC1">
            <w:pPr>
              <w:numPr>
                <w:ilvl w:val="0"/>
                <w:numId w:val="49"/>
              </w:numPr>
              <w:spacing w:before="0" w:after="0"/>
              <w:ind w:hanging="210"/>
              <w:jc w:val="left"/>
              <w:rPr>
                <w:szCs w:val="24"/>
              </w:rPr>
            </w:pPr>
            <w:r>
              <w:rPr>
                <w:szCs w:val="24"/>
              </w:rPr>
              <w:t>Мярка 16 „Сътрудничество“</w:t>
            </w:r>
          </w:p>
          <w:p w:rsidR="00A1205A" w:rsidRDefault="009E0DC1" w:rsidP="009E0DC1">
            <w:pPr>
              <w:numPr>
                <w:ilvl w:val="0"/>
                <w:numId w:val="49"/>
              </w:numPr>
              <w:spacing w:before="0" w:after="0"/>
              <w:ind w:hanging="210"/>
              <w:jc w:val="left"/>
              <w:rPr>
                <w:szCs w:val="24"/>
              </w:rPr>
            </w:pPr>
            <w:r>
              <w:rPr>
                <w:szCs w:val="24"/>
              </w:rPr>
              <w:t>Мярка 8 „Инвестиции в развитие на горските райони и подобряване на жизнеспособността на горите“</w:t>
            </w:r>
          </w:p>
          <w:p w:rsidR="00A1205A" w:rsidRDefault="009E0DC1" w:rsidP="009E0DC1">
            <w:pPr>
              <w:numPr>
                <w:ilvl w:val="0"/>
                <w:numId w:val="49"/>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49"/>
              </w:numPr>
              <w:spacing w:before="0" w:after="240"/>
              <w:ind w:hanging="210"/>
              <w:jc w:val="left"/>
              <w:rPr>
                <w:szCs w:val="24"/>
              </w:rPr>
            </w:pPr>
            <w:r>
              <w:rPr>
                <w:szCs w:val="24"/>
              </w:rPr>
              <w:t>Мярка 15 „Екологични услуги и услуги във връзка с климата в горското стопанство и опазване на горите“</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66" w:name="_Toc256000065"/>
      <w:r>
        <w:t>Връзка между критериите за преценка, общите и допълнителните показатели за резултатите, използвани за отговор на ОВО</w:t>
      </w:r>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Подобрило се е качеството на водите</w:t>
            </w:r>
          </w:p>
        </w:tc>
        <w:tc>
          <w:tcPr>
            <w:tcW w:w="1650" w:type="pct"/>
            <w:shd w:val="clear" w:color="auto" w:fill="FFFFFF"/>
            <w:tcMar>
              <w:top w:w="20" w:type="dxa"/>
              <w:left w:w="20" w:type="dxa"/>
              <w:bottom w:w="20" w:type="dxa"/>
            </w:tcMar>
          </w:tcPr>
          <w:p w:rsidR="00A1205A" w:rsidRDefault="009E0DC1">
            <w:pPr>
              <w:jc w:val="left"/>
              <w:rPr>
                <w:sz w:val="16"/>
              </w:rPr>
            </w:pPr>
            <w:r>
              <w:rPr>
                <w:sz w:val="16"/>
              </w:rPr>
              <w:t>R8 / 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Подобрило се е качеството на водите</w:t>
            </w:r>
          </w:p>
        </w:tc>
        <w:tc>
          <w:tcPr>
            <w:tcW w:w="1650" w:type="pct"/>
            <w:shd w:val="clear" w:color="auto" w:fill="FFFFFF"/>
            <w:tcMar>
              <w:top w:w="20" w:type="dxa"/>
              <w:left w:w="20" w:type="dxa"/>
              <w:bottom w:w="20" w:type="dxa"/>
            </w:tcMar>
          </w:tcPr>
          <w:p w:rsidR="00A1205A" w:rsidRDefault="009E0DC1">
            <w:pPr>
              <w:jc w:val="left"/>
              <w:rPr>
                <w:sz w:val="16"/>
              </w:rPr>
            </w:pPr>
            <w:r>
              <w:rPr>
                <w:sz w:val="16"/>
              </w:rPr>
              <w:t>R9 / T11: процент на горската земя, обхваната от договори за управление с цел подобряване на управлението на водите (област с поставен акцент 4Б)</w:t>
            </w: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67" w:name="_Toc256000066"/>
      <w:r>
        <w:t>Прилагани методи</w:t>
      </w:r>
      <w:bookmarkEnd w:id="6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68" w:name="_Toc256000067"/>
      <w:r>
        <w:t>Количествени стойности на показателите и източници на данни</w:t>
      </w:r>
      <w:bookmarkEnd w:id="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2017"/>
        <w:gridCol w:w="1070"/>
        <w:gridCol w:w="871"/>
        <w:gridCol w:w="852"/>
        <w:gridCol w:w="852"/>
        <w:gridCol w:w="3966"/>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R8 / 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R9 / T11: процент на горската земя, обхваната от договори за управление с цел подобряване на управлението на водите (област с поставен акцент 4Б)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69" w:name="_Toc256000068"/>
      <w:r>
        <w:t>Идентифицирани проблеми, които влияят върху действителността и надеждността на констатациите от оценката</w:t>
      </w:r>
      <w:bookmarkEnd w:id="6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70" w:name="_Toc256000069"/>
      <w:r>
        <w:t>Отговор на въпрос за оценка</w:t>
      </w:r>
      <w:bookmarkEnd w:id="7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Приоритет 4 е в размер на 983 098 023 евро. ПРСР предвижда изпълнението на Област с поставен акцент 4Б от Приоритет 4 да се постигне посредством прилагането на следните мерки:</w:t>
            </w:r>
          </w:p>
          <w:p w:rsidR="00A1205A" w:rsidRDefault="009E0DC1" w:rsidP="009E0DC1">
            <w:pPr>
              <w:numPr>
                <w:ilvl w:val="0"/>
                <w:numId w:val="50"/>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0"/>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0"/>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0"/>
              </w:numPr>
              <w:spacing w:before="0" w:after="0"/>
              <w:ind w:hanging="210"/>
              <w:jc w:val="left"/>
              <w:rPr>
                <w:szCs w:val="24"/>
              </w:rPr>
            </w:pPr>
            <w:r>
              <w:rPr>
                <w:szCs w:val="24"/>
              </w:rPr>
              <w:t>Мярка 10 „Агроекология и климат“</w:t>
            </w:r>
          </w:p>
          <w:p w:rsidR="00A1205A" w:rsidRDefault="009E0DC1" w:rsidP="009E0DC1">
            <w:pPr>
              <w:numPr>
                <w:ilvl w:val="0"/>
                <w:numId w:val="50"/>
              </w:numPr>
              <w:spacing w:before="0" w:after="0"/>
              <w:ind w:hanging="210"/>
              <w:jc w:val="left"/>
              <w:rPr>
                <w:szCs w:val="24"/>
              </w:rPr>
            </w:pPr>
            <w:r>
              <w:rPr>
                <w:szCs w:val="24"/>
              </w:rPr>
              <w:t>Мярка 11 „Биологично земеделие“</w:t>
            </w:r>
          </w:p>
          <w:p w:rsidR="00A1205A" w:rsidRDefault="009E0DC1" w:rsidP="009E0DC1">
            <w:pPr>
              <w:numPr>
                <w:ilvl w:val="0"/>
                <w:numId w:val="50"/>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50"/>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A1205A" w:rsidRDefault="009E0DC1" w:rsidP="009E0DC1">
            <w:pPr>
              <w:numPr>
                <w:ilvl w:val="0"/>
                <w:numId w:val="50"/>
              </w:numPr>
              <w:spacing w:before="0" w:after="0"/>
              <w:ind w:hanging="210"/>
              <w:jc w:val="left"/>
              <w:rPr>
                <w:szCs w:val="24"/>
              </w:rPr>
            </w:pPr>
            <w:r>
              <w:rPr>
                <w:szCs w:val="24"/>
              </w:rPr>
              <w:t>Мярка 16 „Сътрудничество“</w:t>
            </w:r>
          </w:p>
          <w:p w:rsidR="00A1205A" w:rsidRDefault="009E0DC1" w:rsidP="009E0DC1">
            <w:pPr>
              <w:numPr>
                <w:ilvl w:val="0"/>
                <w:numId w:val="50"/>
              </w:numPr>
              <w:spacing w:before="0" w:after="0"/>
              <w:ind w:hanging="210"/>
              <w:jc w:val="left"/>
              <w:rPr>
                <w:szCs w:val="24"/>
              </w:rPr>
            </w:pPr>
            <w:r>
              <w:rPr>
                <w:szCs w:val="24"/>
              </w:rPr>
              <w:t>Мярка 8 „Инвестиции в развитие на горските райони и подобряване на жизнеспособността на горите“</w:t>
            </w:r>
          </w:p>
          <w:p w:rsidR="00A1205A" w:rsidRDefault="009E0DC1" w:rsidP="009E0DC1">
            <w:pPr>
              <w:numPr>
                <w:ilvl w:val="0"/>
                <w:numId w:val="50"/>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50"/>
              </w:numPr>
              <w:spacing w:before="0" w:after="240"/>
              <w:ind w:hanging="210"/>
              <w:jc w:val="left"/>
              <w:rPr>
                <w:szCs w:val="24"/>
              </w:rPr>
            </w:pPr>
            <w:r>
              <w:rPr>
                <w:szCs w:val="24"/>
              </w:rPr>
              <w:t>Мярка 15 „Екологични услуги и услуги във връзка с климата в горското стопанство и опазване на горите“</w:t>
            </w:r>
          </w:p>
          <w:p w:rsidR="00A1205A" w:rsidRDefault="009E0DC1">
            <w:pPr>
              <w:spacing w:before="240" w:after="240"/>
              <w:jc w:val="left"/>
              <w:rPr>
                <w:szCs w:val="24"/>
              </w:rPr>
            </w:pPr>
            <w:r>
              <w:rPr>
                <w:szCs w:val="24"/>
              </w:rPr>
              <w:t>Към 31 декември 2016 г. е отбелязан напредък по отношение на изпълнението на фокус област 4Б посредством стартирането и изпълнението на мярка 10 „Агроекология и климат“, мярка 11 „Биологично земеделие“, мярка 12 „Плащания по Натура 2000 и Рамковата директива за водите“ и мярка 13 „Плащания за райони, изправени пред природни или други специфични ограничения“.</w:t>
            </w:r>
          </w:p>
          <w:p w:rsidR="00A1205A" w:rsidRDefault="009E0DC1">
            <w:pPr>
              <w:spacing w:before="240" w:after="240"/>
              <w:jc w:val="left"/>
              <w:rPr>
                <w:szCs w:val="24"/>
              </w:rPr>
            </w:pPr>
            <w:r>
              <w:rPr>
                <w:szCs w:val="24"/>
              </w:rPr>
              <w:t>От стартиране на ПРСР през 2015 г. са проведени две кампании за прием на зявления, в рамките на които е предоставена възможност за подаване на заявления по съответните мерки. В резултат на проведените приеми са одобрени общо 53 825 заявления за подпомагане. Общият размер на договорените средства по мерки 10, 11, 12 и 13 към 31 декември 2016 г. възлиза на 304 004 695 евро или приблизително 30 % от планирания ресурс в рамките на Приоритет 4.</w:t>
            </w:r>
          </w:p>
          <w:p w:rsidR="00A1205A" w:rsidRDefault="009E0DC1">
            <w:pPr>
              <w:spacing w:before="240" w:after="240"/>
              <w:jc w:val="left"/>
              <w:rPr>
                <w:szCs w:val="24"/>
              </w:rPr>
            </w:pPr>
            <w:r>
              <w:rPr>
                <w:szCs w:val="24"/>
              </w:rPr>
              <w:t>Процентът на земеделската земя, обхваната от договори за управление с цел подобряване на управлението на водите в следствие на поети ангажименти по съответните мерки към 31 декември 2016 г. възлиза на 1.35 % спрямо планираните 2.52 % въз основа на което е отбелязан съществен напредък. </w:t>
            </w:r>
          </w:p>
          <w:p w:rsidR="00A1205A" w:rsidRDefault="00A1205A">
            <w:pPr>
              <w:pStyle w:val="BodyText"/>
            </w:pPr>
          </w:p>
        </w:tc>
      </w:tr>
    </w:tbl>
    <w:p w:rsidR="00A1205A" w:rsidRDefault="009E0DC1">
      <w:pPr>
        <w:pStyle w:val="Heading3"/>
        <w:jc w:val="left"/>
      </w:pPr>
      <w:bookmarkStart w:id="71" w:name="_Toc256000070"/>
      <w:r>
        <w:t>Заключения и препоръки</w:t>
      </w:r>
      <w:bookmarkEnd w:id="71"/>
    </w:p>
    <w:p w:rsidR="00A1205A" w:rsidRDefault="009E0DC1">
      <w:pPr>
        <w:pStyle w:val="Heading2"/>
      </w:pPr>
      <w:bookmarkStart w:id="72" w:name="_Toc256000071"/>
      <w:r>
        <w:t>CEQ10-4C - До каква степен интервенциите по ПРСР са подпомогнали предотвратяването на почвената ерозия и подобряването на управлението на почвите?</w:t>
      </w:r>
      <w:bookmarkEnd w:id="72"/>
    </w:p>
    <w:p w:rsidR="00A1205A" w:rsidRDefault="009E0DC1">
      <w:pPr>
        <w:pStyle w:val="Heading3"/>
        <w:jc w:val="left"/>
      </w:pPr>
      <w:r>
        <w:br w:type="page"/>
      </w:r>
      <w:bookmarkStart w:id="73" w:name="_Toc256000072"/>
      <w:r>
        <w:t>Списък на мерките, допринасящи за акцентираната област</w:t>
      </w:r>
      <w:bookmarkEnd w:id="7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51"/>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1"/>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1"/>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1"/>
              </w:numPr>
              <w:spacing w:before="0" w:after="0"/>
              <w:ind w:hanging="210"/>
              <w:jc w:val="left"/>
              <w:rPr>
                <w:szCs w:val="24"/>
              </w:rPr>
            </w:pPr>
            <w:r>
              <w:rPr>
                <w:szCs w:val="24"/>
              </w:rPr>
              <w:t>Мярка 10 „Агроекология и климат“</w:t>
            </w:r>
          </w:p>
          <w:p w:rsidR="00A1205A" w:rsidRDefault="009E0DC1" w:rsidP="009E0DC1">
            <w:pPr>
              <w:numPr>
                <w:ilvl w:val="0"/>
                <w:numId w:val="51"/>
              </w:numPr>
              <w:spacing w:before="0" w:after="0"/>
              <w:ind w:hanging="210"/>
              <w:jc w:val="left"/>
              <w:rPr>
                <w:szCs w:val="24"/>
              </w:rPr>
            </w:pPr>
            <w:r>
              <w:rPr>
                <w:szCs w:val="24"/>
              </w:rPr>
              <w:t>Мярка 11 „Биологично земеделие“</w:t>
            </w:r>
          </w:p>
          <w:p w:rsidR="00A1205A" w:rsidRDefault="009E0DC1" w:rsidP="009E0DC1">
            <w:pPr>
              <w:numPr>
                <w:ilvl w:val="0"/>
                <w:numId w:val="51"/>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51"/>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A1205A" w:rsidRDefault="009E0DC1" w:rsidP="009E0DC1">
            <w:pPr>
              <w:numPr>
                <w:ilvl w:val="0"/>
                <w:numId w:val="51"/>
              </w:numPr>
              <w:spacing w:before="0" w:after="0"/>
              <w:ind w:hanging="210"/>
              <w:jc w:val="left"/>
              <w:rPr>
                <w:szCs w:val="24"/>
              </w:rPr>
            </w:pPr>
            <w:r>
              <w:rPr>
                <w:szCs w:val="24"/>
              </w:rPr>
              <w:t>Мярка 16 „Сътрудничество“</w:t>
            </w:r>
          </w:p>
          <w:p w:rsidR="00A1205A" w:rsidRDefault="009E0DC1" w:rsidP="009E0DC1">
            <w:pPr>
              <w:numPr>
                <w:ilvl w:val="0"/>
                <w:numId w:val="51"/>
              </w:numPr>
              <w:spacing w:before="0" w:after="0"/>
              <w:ind w:hanging="210"/>
              <w:jc w:val="left"/>
              <w:rPr>
                <w:szCs w:val="24"/>
              </w:rPr>
            </w:pPr>
            <w:r>
              <w:rPr>
                <w:szCs w:val="24"/>
              </w:rPr>
              <w:t>Мярка 8 „Инвестиции в развитие на горските райони и подобряване на жизнеспособността на горите“</w:t>
            </w:r>
          </w:p>
          <w:p w:rsidR="00A1205A" w:rsidRDefault="009E0DC1" w:rsidP="009E0DC1">
            <w:pPr>
              <w:numPr>
                <w:ilvl w:val="0"/>
                <w:numId w:val="51"/>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51"/>
              </w:numPr>
              <w:spacing w:before="0" w:after="240"/>
              <w:ind w:hanging="210"/>
              <w:jc w:val="left"/>
              <w:rPr>
                <w:szCs w:val="24"/>
              </w:rPr>
            </w:pPr>
            <w:r>
              <w:rPr>
                <w:szCs w:val="24"/>
              </w:rPr>
              <w:t>Мярка 15 „Екологични услуги и услуги във връзка с климата в горското стопанство и опазване на горите“</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74" w:name="_Toc256000073"/>
      <w:r>
        <w:t>Връзка между критериите за преценка, общите и допълнителните показатели за резултатите, използвани за отговор на ОВО</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Подобрило се е управлението на почвите</w:t>
            </w:r>
          </w:p>
        </w:tc>
        <w:tc>
          <w:tcPr>
            <w:tcW w:w="1650" w:type="pct"/>
            <w:shd w:val="clear" w:color="auto" w:fill="FFFFFF"/>
            <w:tcMar>
              <w:top w:w="20" w:type="dxa"/>
              <w:left w:w="20" w:type="dxa"/>
              <w:bottom w:w="20" w:type="dxa"/>
            </w:tcMar>
          </w:tcPr>
          <w:p w:rsidR="00A1205A" w:rsidRDefault="009E0DC1">
            <w:pPr>
              <w:jc w:val="left"/>
              <w:rPr>
                <w:sz w:val="16"/>
              </w:rPr>
            </w:pPr>
            <w:r>
              <w:rPr>
                <w:sz w:val="16"/>
              </w:rPr>
              <w:t>R10 / 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Подобрило се е управлението на почвите</w:t>
            </w:r>
          </w:p>
        </w:tc>
        <w:tc>
          <w:tcPr>
            <w:tcW w:w="1650" w:type="pct"/>
            <w:shd w:val="clear" w:color="auto" w:fill="FFFFFF"/>
            <w:tcMar>
              <w:top w:w="20" w:type="dxa"/>
              <w:left w:w="20" w:type="dxa"/>
              <w:bottom w:w="20" w:type="dxa"/>
            </w:tcMar>
          </w:tcPr>
          <w:p w:rsidR="00A1205A" w:rsidRDefault="009E0DC1">
            <w:pPr>
              <w:jc w:val="left"/>
              <w:rPr>
                <w:sz w:val="16"/>
              </w:rPr>
            </w:pPr>
            <w:r>
              <w:rPr>
                <w:sz w:val="16"/>
              </w:rPr>
              <w:t>R11 / 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Предотвратена е ерозията на почвата</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Допълнителна информация за ерозията на почвите в земите, предоставени за ползване по договори за управление.</w:t>
            </w:r>
          </w:p>
        </w:tc>
      </w:tr>
    </w:tbl>
    <w:p w:rsidR="00A1205A" w:rsidRDefault="00A1205A">
      <w:pPr>
        <w:jc w:val="center"/>
        <w:rPr>
          <w:sz w:val="16"/>
        </w:rPr>
      </w:pPr>
    </w:p>
    <w:p w:rsidR="00A1205A" w:rsidRDefault="009E0DC1">
      <w:pPr>
        <w:pStyle w:val="Heading3"/>
        <w:jc w:val="left"/>
      </w:pPr>
      <w:bookmarkStart w:id="75" w:name="_Toc256000074"/>
      <w:r>
        <w:t>Прилагани методи</w:t>
      </w:r>
      <w:bookmarkEnd w:id="7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76" w:name="_Toc256000075"/>
      <w:r>
        <w:t>Количествени стойности на показателите и източници на данни</w:t>
      </w:r>
      <w:bookmarkEnd w:id="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842"/>
        <w:gridCol w:w="1070"/>
        <w:gridCol w:w="871"/>
        <w:gridCol w:w="852"/>
        <w:gridCol w:w="852"/>
        <w:gridCol w:w="3966"/>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R10 / 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R11 / 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Допълнителна информация за ерозията на почвите в земите, предоставени за ползване по договори за управление.</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77" w:name="_Toc256000076"/>
      <w:r>
        <w:t>Идентифицирани проблеми, които влияят върху действителността и надеждността на констатациите от оценката</w:t>
      </w:r>
      <w:bookmarkEnd w:id="7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78" w:name="_Toc256000077"/>
      <w:r>
        <w:t>Отговор на въпрос за оценка</w:t>
      </w:r>
      <w:bookmarkEnd w:id="7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Приоритет 4 е в размер на 983 098 023 евро. ПРСР предвижда изпълнението на Област с поставен акцент 4В от Приоритет 4 да се постигне посредством прилагането на следните мерки:</w:t>
            </w:r>
          </w:p>
          <w:p w:rsidR="00A1205A" w:rsidRDefault="009E0DC1" w:rsidP="009E0DC1">
            <w:pPr>
              <w:numPr>
                <w:ilvl w:val="0"/>
                <w:numId w:val="52"/>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2"/>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2"/>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2"/>
              </w:numPr>
              <w:spacing w:before="0" w:after="0"/>
              <w:ind w:hanging="210"/>
              <w:jc w:val="left"/>
              <w:rPr>
                <w:szCs w:val="24"/>
              </w:rPr>
            </w:pPr>
            <w:r>
              <w:rPr>
                <w:szCs w:val="24"/>
              </w:rPr>
              <w:t>Мярка 10 „Агроекология и климат“</w:t>
            </w:r>
          </w:p>
          <w:p w:rsidR="00A1205A" w:rsidRDefault="009E0DC1" w:rsidP="009E0DC1">
            <w:pPr>
              <w:numPr>
                <w:ilvl w:val="0"/>
                <w:numId w:val="52"/>
              </w:numPr>
              <w:spacing w:before="0" w:after="0"/>
              <w:ind w:hanging="210"/>
              <w:jc w:val="left"/>
              <w:rPr>
                <w:szCs w:val="24"/>
              </w:rPr>
            </w:pPr>
            <w:r>
              <w:rPr>
                <w:szCs w:val="24"/>
              </w:rPr>
              <w:t>Мярка 11 „Биологично земеделие“</w:t>
            </w:r>
          </w:p>
          <w:p w:rsidR="00A1205A" w:rsidRDefault="009E0DC1" w:rsidP="009E0DC1">
            <w:pPr>
              <w:numPr>
                <w:ilvl w:val="0"/>
                <w:numId w:val="52"/>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52"/>
              </w:numPr>
              <w:spacing w:before="0" w:after="0"/>
              <w:ind w:hanging="210"/>
              <w:jc w:val="left"/>
              <w:rPr>
                <w:szCs w:val="24"/>
              </w:rPr>
            </w:pPr>
            <w:r>
              <w:rPr>
                <w:szCs w:val="24"/>
              </w:rPr>
              <w:t>Мярка 13 „Плащания за райони, изправени пред природни или други специфични ограничения“</w:t>
            </w:r>
          </w:p>
          <w:p w:rsidR="00A1205A" w:rsidRDefault="009E0DC1" w:rsidP="009E0DC1">
            <w:pPr>
              <w:numPr>
                <w:ilvl w:val="0"/>
                <w:numId w:val="52"/>
              </w:numPr>
              <w:spacing w:before="0" w:after="0"/>
              <w:ind w:hanging="210"/>
              <w:jc w:val="left"/>
              <w:rPr>
                <w:szCs w:val="24"/>
              </w:rPr>
            </w:pPr>
            <w:r>
              <w:rPr>
                <w:szCs w:val="24"/>
              </w:rPr>
              <w:t>Мярка 16 „Сътрудничество“</w:t>
            </w:r>
          </w:p>
          <w:p w:rsidR="00A1205A" w:rsidRDefault="009E0DC1" w:rsidP="009E0DC1">
            <w:pPr>
              <w:numPr>
                <w:ilvl w:val="0"/>
                <w:numId w:val="52"/>
              </w:numPr>
              <w:spacing w:before="0" w:after="0"/>
              <w:ind w:hanging="210"/>
              <w:jc w:val="left"/>
              <w:rPr>
                <w:szCs w:val="24"/>
              </w:rPr>
            </w:pPr>
            <w:r>
              <w:rPr>
                <w:szCs w:val="24"/>
              </w:rPr>
              <w:t>Мярка 8 „Инвестиции в развитие на горските райони и подобряване на жизнеспособността на горите“</w:t>
            </w:r>
          </w:p>
          <w:p w:rsidR="00A1205A" w:rsidRDefault="009E0DC1" w:rsidP="009E0DC1">
            <w:pPr>
              <w:numPr>
                <w:ilvl w:val="0"/>
                <w:numId w:val="52"/>
              </w:numPr>
              <w:spacing w:before="0" w:after="0"/>
              <w:ind w:hanging="210"/>
              <w:jc w:val="left"/>
              <w:rPr>
                <w:szCs w:val="24"/>
              </w:rPr>
            </w:pPr>
            <w:r>
              <w:rPr>
                <w:szCs w:val="24"/>
              </w:rPr>
              <w:t>Мярка 12 „Плащания по „Натура 2000“ и Рамковата директива за водите“</w:t>
            </w:r>
          </w:p>
          <w:p w:rsidR="00A1205A" w:rsidRDefault="009E0DC1" w:rsidP="009E0DC1">
            <w:pPr>
              <w:numPr>
                <w:ilvl w:val="0"/>
                <w:numId w:val="52"/>
              </w:numPr>
              <w:spacing w:before="0" w:after="240"/>
              <w:ind w:hanging="210"/>
              <w:jc w:val="left"/>
              <w:rPr>
                <w:szCs w:val="24"/>
              </w:rPr>
            </w:pPr>
            <w:r>
              <w:rPr>
                <w:szCs w:val="24"/>
              </w:rPr>
              <w:t>Мярка 15 „Екологични услуги и услуги във връзка с климата в горското стопанство и опазване на горите“</w:t>
            </w:r>
          </w:p>
          <w:p w:rsidR="00A1205A" w:rsidRDefault="009E0DC1">
            <w:pPr>
              <w:spacing w:before="240" w:after="240"/>
              <w:jc w:val="left"/>
              <w:rPr>
                <w:szCs w:val="24"/>
              </w:rPr>
            </w:pPr>
            <w:r>
              <w:rPr>
                <w:szCs w:val="24"/>
              </w:rPr>
              <w:t>Към 31 декември 2016 г. е отбелязан напредък по отношение на изпълнението на фокус област 4Б посредством стартирането и изпълнението на мярка 10 „Агроекология и климат“, мярка 11 „Биологично земеделие“, мярка 12 „Плащания по Натура 2000 и Рамковата директива за водите“ и мярка 13 „Плащания за райони, изправени пред природни или други специфични ограничения“.</w:t>
            </w:r>
          </w:p>
          <w:p w:rsidR="00A1205A" w:rsidRDefault="009E0DC1">
            <w:pPr>
              <w:spacing w:before="240" w:after="240"/>
              <w:jc w:val="left"/>
              <w:rPr>
                <w:szCs w:val="24"/>
              </w:rPr>
            </w:pPr>
            <w:r>
              <w:rPr>
                <w:szCs w:val="24"/>
              </w:rPr>
              <w:t>От стартиране на ПРСР през 2015 г. са проведени две кампании за прием на зявления, в рамките на които е предоставена възможност за подаване на заявления по съответните мерки. В резултат на проведените приеми са одобрени общо 53 825 заявления за подпомагане. Общият размер на договорените средства по мерки 10, 11, 12 и 13 към 31 декември 2016 г. възлиза на 304 004 695 евро или приблизително 30 % от планирания ресурс в рамките на Приоритет 4.</w:t>
            </w:r>
          </w:p>
          <w:p w:rsidR="00A1205A" w:rsidRDefault="009E0DC1">
            <w:pPr>
              <w:spacing w:before="240" w:after="240"/>
              <w:jc w:val="left"/>
              <w:rPr>
                <w:szCs w:val="24"/>
              </w:rPr>
            </w:pPr>
            <w:r>
              <w:rPr>
                <w:szCs w:val="24"/>
              </w:rPr>
              <w:t>Процентът на земеделската земя, обхваната от договори за управление с цел подобряване на управлението на почвите и/или предотврятяване на почвената ерозия в следствие на поети ангажименти по съответните мерки към 31 декември 2016 г. възлиза на 1.35 % спрямо планираните 1.18 %.</w:t>
            </w:r>
          </w:p>
          <w:p w:rsidR="00A1205A" w:rsidRDefault="009E0DC1">
            <w:pPr>
              <w:spacing w:before="240" w:after="240"/>
              <w:jc w:val="left"/>
              <w:rPr>
                <w:szCs w:val="24"/>
              </w:rPr>
            </w:pPr>
            <w:r>
              <w:rPr>
                <w:szCs w:val="24"/>
              </w:rPr>
              <w:t>От друга страна към 31 декември 2016 г. все още не са стартирани, предвидените горски мерки от ПРСР в резултат на което не е реализиран напредък по отношение на процентът на гори или други залесени райони, обхванати от договори за управление в подкрепа предотвратяването на почвената ерозия и подобряването на управлението на почвите.</w:t>
            </w:r>
          </w:p>
          <w:p w:rsidR="00A1205A" w:rsidRDefault="009E0DC1">
            <w:pPr>
              <w:spacing w:before="240" w:after="240"/>
              <w:jc w:val="left"/>
              <w:rPr>
                <w:szCs w:val="24"/>
              </w:rPr>
            </w:pPr>
            <w:r>
              <w:rPr>
                <w:szCs w:val="24"/>
              </w:rPr>
              <w:t>Въз основа на данните по отношение на процентът на земеделската земя, обхваната от договори за управление в съответната фокус област 4В, може да се отбележи, че заложената цел е преизпълнена към края на втората година от прилагане на ПРСР поради което към 31 декември 2016 г. е отбелязан серизоен напредък по отношение на предотвратяването на почвената ерозия и подобряването на управлението на почвите, спрямо заложените първоначални цели в Програмата въз основа на поетите ангажименти от страна на земеделските стопани, които се очаква да окажат положителен дългосрочен ефект.</w:t>
            </w:r>
          </w:p>
          <w:p w:rsidR="00A1205A" w:rsidRDefault="00A1205A">
            <w:pPr>
              <w:pStyle w:val="BodyText"/>
            </w:pPr>
          </w:p>
        </w:tc>
      </w:tr>
    </w:tbl>
    <w:p w:rsidR="00A1205A" w:rsidRDefault="009E0DC1">
      <w:pPr>
        <w:pStyle w:val="Heading3"/>
        <w:jc w:val="left"/>
      </w:pPr>
      <w:bookmarkStart w:id="79" w:name="_Toc256000078"/>
      <w:r>
        <w:t>Заключения и препоръки</w:t>
      </w:r>
      <w:bookmarkEnd w:id="79"/>
    </w:p>
    <w:p w:rsidR="00A1205A" w:rsidRDefault="009E0DC1">
      <w:pPr>
        <w:pStyle w:val="Heading2"/>
      </w:pPr>
      <w:bookmarkStart w:id="80" w:name="_Toc256000079"/>
      <w:r>
        <w:t>CEQ11-5A - До каква степен интервенциите по ПРСР са допринесли за повишаване на ефективността при потреблението на вода в селското стопанство?</w:t>
      </w:r>
      <w:bookmarkEnd w:id="80"/>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 xml:space="preserve">Избраните мерки, насочени към изпълнението на фокус област 5А не са стартирани към 31 декември 2016 г. поради което не е реализиран напредък по отношение на повишаване на ефективността при потреблението на вода в селското стопанство. </w:t>
            </w:r>
          </w:p>
        </w:tc>
      </w:tr>
    </w:tbl>
    <w:p w:rsidR="00A1205A" w:rsidRDefault="009E0DC1">
      <w:pPr>
        <w:pStyle w:val="Heading2"/>
      </w:pPr>
      <w:bookmarkStart w:id="81" w:name="_Toc256000080"/>
      <w:r>
        <w:t>CEQ12-5B - До каква степен интервенциите по ПРСР са допринесли за повишаване на ефективността при потреблението на енергия в селското стопанство и преработката на храни?</w:t>
      </w:r>
      <w:bookmarkEnd w:id="81"/>
    </w:p>
    <w:p w:rsidR="00A1205A" w:rsidRDefault="009E0DC1">
      <w:pPr>
        <w:pStyle w:val="Heading3"/>
        <w:jc w:val="left"/>
      </w:pPr>
      <w:r>
        <w:br w:type="page"/>
      </w:r>
      <w:bookmarkStart w:id="82" w:name="_Toc256000081"/>
      <w:r>
        <w:t>Списък на мерките, допринасящи за акцентираната област</w:t>
      </w:r>
      <w:bookmarkEnd w:id="8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53"/>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3"/>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3"/>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3"/>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83" w:name="_Toc256000082"/>
      <w:r>
        <w:t>Връзка между критериите за преценка, общите и допълнителните показатели за резултатите, използвани за отговор на ОВО</w:t>
      </w:r>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Повишила се ефективността при потреблението на енергия в селското стопанство и хранително-вкусовата промишленост</w:t>
            </w:r>
          </w:p>
        </w:tc>
        <w:tc>
          <w:tcPr>
            <w:tcW w:w="1650" w:type="pct"/>
            <w:shd w:val="clear" w:color="auto" w:fill="FFFFFF"/>
            <w:tcMar>
              <w:top w:w="20" w:type="dxa"/>
              <w:left w:w="20" w:type="dxa"/>
              <w:bottom w:w="20" w:type="dxa"/>
            </w:tcMar>
          </w:tcPr>
          <w:p w:rsidR="00A1205A" w:rsidRDefault="009E0DC1">
            <w:pPr>
              <w:jc w:val="left"/>
              <w:rPr>
                <w:sz w:val="16"/>
              </w:rPr>
            </w:pPr>
            <w:r>
              <w:rPr>
                <w:sz w:val="16"/>
              </w:rPr>
              <w:t>Р14: по-ефективно използване на водата за селскостопански цели и преработване на храни по проекти, подпомагани в рамките на ПРСР (област с поставен акцент P5A)*</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Повишила се ефективността при потреблението на енергия в селското стопанство и хранително-вкусовата промишленост</w:t>
            </w:r>
          </w:p>
        </w:tc>
        <w:tc>
          <w:tcPr>
            <w:tcW w:w="1650" w:type="pct"/>
            <w:shd w:val="clear" w:color="auto" w:fill="FFFFFF"/>
            <w:tcMar>
              <w:top w:w="20" w:type="dxa"/>
              <w:left w:w="20" w:type="dxa"/>
              <w:bottom w:w="20" w:type="dxa"/>
            </w:tcMar>
          </w:tcPr>
          <w:p w:rsidR="00A1205A" w:rsidRDefault="009E0DC1">
            <w:pPr>
              <w:jc w:val="left"/>
              <w:rPr>
                <w:sz w:val="16"/>
              </w:rPr>
            </w:pPr>
            <w:r>
              <w:rPr>
                <w:sz w:val="16"/>
              </w:rPr>
              <w:t>T15: общите инвестиции за енергийна ефективност (област с поставен акцент 5Б)</w:t>
            </w: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84" w:name="_Toc256000083"/>
      <w:r>
        <w:t>Прилагани методи</w:t>
      </w:r>
      <w:bookmarkEnd w:id="8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85" w:name="_Toc256000084"/>
      <w:r>
        <w:t>Количествени стойности на показателите и източници на данни</w:t>
      </w:r>
      <w:bookmarkEnd w:id="8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277"/>
        <w:gridCol w:w="1070"/>
        <w:gridCol w:w="871"/>
        <w:gridCol w:w="852"/>
        <w:gridCol w:w="911"/>
        <w:gridCol w:w="1222"/>
        <w:gridCol w:w="852"/>
        <w:gridCol w:w="2573"/>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Primary contribution</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Secondary contribution, including LEADER/CLLD contribution</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Р14: по-ефективно използване на водата за селскостопански цели и преработване на храни по проекти, подпомагани в рамките на ПРСР (област с поставен акцент P5A)*</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T15: общите инвестиции за енергийна ефективност (област с поставен акцент 5Б)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86" w:name="_Toc256000085"/>
      <w:r>
        <w:t>Идентифицирани проблеми, които влияят върху действителността и надеждността на констатациите от оценката</w:t>
      </w:r>
      <w:bookmarkEnd w:id="8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87" w:name="_Toc256000086"/>
      <w:r>
        <w:t>Отговор на въпрос за оценка</w:t>
      </w:r>
      <w:bookmarkEnd w:id="8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фокус област 5Б е в размер на 123 152 678 евро. ПРСР предвижда изпълнението на съответната фокус област да се постигне посредством прилагането на следните мерки:</w:t>
            </w:r>
          </w:p>
          <w:p w:rsidR="00A1205A" w:rsidRDefault="009E0DC1" w:rsidP="009E0DC1">
            <w:pPr>
              <w:numPr>
                <w:ilvl w:val="0"/>
                <w:numId w:val="54"/>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4"/>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4"/>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4"/>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Към 31 декември 2016 г. е отбелязан напредък по отношение на изпълнението на фокус област 5Б посредством стартирането и изпълнението на подмярка 4.1 „Инвестиции в земеделски стопанства“ и подмярка 4.2 „Инвестиции в преработка/маркеитнг на селскостопански продукти“ от мярка 4 „Инвестиции в материални активи“, в рамките на които са допустими за подпомагане инвестиции в повишаване на енергийната ефективност.</w:t>
            </w:r>
          </w:p>
          <w:p w:rsidR="00A1205A" w:rsidRDefault="009E0DC1">
            <w:pPr>
              <w:spacing w:before="240" w:after="240"/>
              <w:jc w:val="left"/>
              <w:rPr>
                <w:szCs w:val="24"/>
              </w:rPr>
            </w:pPr>
            <w:r>
              <w:rPr>
                <w:szCs w:val="24"/>
              </w:rPr>
              <w:t>Общият размер на договорената финансова помощ в рамките на проектите, включващи инвестиции в повишаване на енергийна ефективност в рамките на подмерки 4.1 и 4.2 към 31 декември 2016 г. възлиза на 11 045 377 евро или 8.97 % от планирания размер на помощта в рамките на фокус областта. Тези инвестиции са заложените като част от одобрени проекти, подадени в рамките на проведените приеми на заявления през 2015 г. От съответните договорени средства 3 442 240 евро са за инвестиции, директно свързани с повишаване на енергийната ефективност. Прави впечатление дисбаланса в броя на проектите /198/ с инвестиции за повишаване на енергийната ефективност спрямо размера на договорената финансова помощ за такъв тип инвестиции.</w:t>
            </w:r>
          </w:p>
          <w:p w:rsidR="00A1205A" w:rsidRDefault="009E0DC1">
            <w:pPr>
              <w:spacing w:before="240" w:after="240"/>
              <w:jc w:val="left"/>
              <w:rPr>
                <w:szCs w:val="24"/>
              </w:rPr>
            </w:pPr>
            <w:r>
              <w:rPr>
                <w:szCs w:val="24"/>
              </w:rPr>
              <w:t>Към края на 2016 г. общо 112 от договорените проекти по подмярка 4.2 „Инвестиции в преработка/маркетинг на селскостопански продукти“ включват инвестиции в подобряване на енергийната ефективност в рамките на предприятието. Договорените проектни предложения, които съдържат инвестиции в подобряване на енергийната ефективност в земеделските стопанствата по подмярка 4.1 „Инвестиции в земеделски стопанства“ към края на 2016 г. са общо 86.</w:t>
            </w:r>
          </w:p>
          <w:p w:rsidR="00A1205A" w:rsidRDefault="009E0DC1">
            <w:pPr>
              <w:spacing w:before="240" w:after="240"/>
              <w:jc w:val="left"/>
              <w:rPr>
                <w:szCs w:val="24"/>
              </w:rPr>
            </w:pPr>
            <w:r>
              <w:rPr>
                <w:szCs w:val="24"/>
              </w:rPr>
              <w:t>Съответните проекти предвиждат реализираните инвестиции да доведат до повишаване на ефективността при потреблението на енергия в селското стопанство и преработката на храни с между 8 и 10 % спрямо изразходваната енергия, преди реализиране на инвестициите. Проектите са съпроводени от енергийни обследвания, анализиращи ползите от реализация на заложените инвестиции във връзка със стремежа за  повишаване на ефективността при потреблението на енергия в селското стопанство и преработката на храни.</w:t>
            </w:r>
          </w:p>
          <w:p w:rsidR="00A1205A" w:rsidRDefault="009E0DC1">
            <w:pPr>
              <w:spacing w:before="240" w:after="240"/>
              <w:jc w:val="left"/>
              <w:rPr>
                <w:szCs w:val="24"/>
              </w:rPr>
            </w:pPr>
            <w:r>
              <w:rPr>
                <w:szCs w:val="24"/>
              </w:rPr>
              <w:t>Към края на 2016 г. са подадени две заявки за плащане, по проекти, насочени към повишаване на енергийната ефективност, в рамките на които е изплатена финансова помощ в размер на 442 717 евро. Приносът за повишаване на ефективността при потреблението на енергия в селското стопанство и преработката на храни към 31 декември 2016 г. въз основа на данни от приключени проекти е нисък поради характера на инвестиционните проекти, включващи строително-монтажни дейности и необходимостта от по-дълго време за тяхната реализация.</w:t>
            </w:r>
          </w:p>
          <w:p w:rsidR="00A1205A" w:rsidRDefault="009E0DC1">
            <w:pPr>
              <w:spacing w:before="240" w:after="240"/>
              <w:jc w:val="left"/>
              <w:rPr>
                <w:szCs w:val="24"/>
              </w:rPr>
            </w:pPr>
            <w:r>
              <w:rPr>
                <w:szCs w:val="24"/>
              </w:rPr>
              <w:t>Въпреки, че към края на 2016 г. са договорени общо 198 проекта, насочени към повишаване на енергийната ефективност в рамките на стопанството или предприятието реализирания процент на договорени и разплатени средства не допринася в достатъчна степен за постигане на желания планиран ефект по отношение на  повишаването на ефективността при потреблението на енергия в селското стопанство и преработката на храни.</w:t>
            </w:r>
          </w:p>
          <w:p w:rsidR="00A1205A" w:rsidRDefault="009E0DC1">
            <w:pPr>
              <w:spacing w:before="240" w:after="240"/>
              <w:jc w:val="left"/>
              <w:rPr>
                <w:szCs w:val="24"/>
              </w:rPr>
            </w:pPr>
            <w:r>
              <w:rPr>
                <w:szCs w:val="24"/>
              </w:rPr>
              <w:t>Договорените проекти, включващи инвестиции в повишаване на енергийната ефективност са по подадени заявления, в рамките на периоди на прием, проведени през 2015 г. по подмярка 4.1 и 4.2. В рамките на съответните приеми са определени бюджети в размер на приблизително 43 % от ресурса на мярка 4 „Инвестиции в материални активи“ във връзка с което остава съмнение до колко останалите средства, които предстои да бъдат договорени ще спомогнат за повишаване на ефективността при потреблението на енергия в селското стопанство и преработката на храни.</w:t>
            </w:r>
          </w:p>
          <w:p w:rsidR="00A1205A" w:rsidRDefault="00A1205A">
            <w:pPr>
              <w:pStyle w:val="BodyText"/>
            </w:pPr>
          </w:p>
        </w:tc>
      </w:tr>
    </w:tbl>
    <w:p w:rsidR="00A1205A" w:rsidRDefault="009E0DC1">
      <w:pPr>
        <w:pStyle w:val="Heading3"/>
        <w:jc w:val="left"/>
      </w:pPr>
      <w:bookmarkStart w:id="88" w:name="_Toc256000087"/>
      <w:r>
        <w:t>Заключения и препоръки</w:t>
      </w:r>
      <w:bookmarkEnd w:id="88"/>
    </w:p>
    <w:p w:rsidR="00A1205A" w:rsidRDefault="009E0DC1">
      <w:pPr>
        <w:pStyle w:val="Heading2"/>
      </w:pPr>
      <w:bookmarkStart w:id="89" w:name="_Toc256000088"/>
      <w:r>
        <w:t>CEQ13-5C - До каква степен интервенциите по ПРСР са допринесли за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bookmarkEnd w:id="89"/>
    </w:p>
    <w:p w:rsidR="00A1205A" w:rsidRDefault="009E0DC1">
      <w:pPr>
        <w:pStyle w:val="Heading3"/>
        <w:jc w:val="left"/>
      </w:pPr>
      <w:r>
        <w:br w:type="page"/>
      </w:r>
      <w:bookmarkStart w:id="90" w:name="_Toc256000089"/>
      <w:r>
        <w:t>Списък на мерките, допринасящи за акцентираната област</w:t>
      </w:r>
      <w:bookmarkEnd w:id="9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55"/>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5"/>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5"/>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5"/>
              </w:numPr>
              <w:spacing w:before="0" w:after="0"/>
              <w:ind w:hanging="210"/>
              <w:jc w:val="left"/>
              <w:rPr>
                <w:szCs w:val="24"/>
              </w:rPr>
            </w:pPr>
            <w:r>
              <w:rPr>
                <w:szCs w:val="24"/>
              </w:rPr>
              <w:t>Мярка 7 „Основни услуги и обновяване на селата в селските райони“</w:t>
            </w:r>
          </w:p>
          <w:p w:rsidR="00A1205A" w:rsidRDefault="009E0DC1" w:rsidP="009E0DC1">
            <w:pPr>
              <w:numPr>
                <w:ilvl w:val="0"/>
                <w:numId w:val="55"/>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91" w:name="_Toc256000090"/>
      <w:r>
        <w:t>Връзка между критериите за преценка, общите и допълнителните показатели за резултатите, използвани за отговор на ОВО</w:t>
      </w:r>
      <w:bookmarkEnd w:id="9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Повишило се е снабдяването с енергия от възобновяеми източници</w:t>
            </w:r>
          </w:p>
        </w:tc>
        <w:tc>
          <w:tcPr>
            <w:tcW w:w="1650" w:type="pct"/>
            <w:shd w:val="clear" w:color="auto" w:fill="FFFFFF"/>
            <w:tcMar>
              <w:top w:w="20" w:type="dxa"/>
              <w:left w:w="20" w:type="dxa"/>
              <w:bottom w:w="20" w:type="dxa"/>
            </w:tcMar>
          </w:tcPr>
          <w:p w:rsidR="00A1205A" w:rsidRDefault="009E0DC1">
            <w:pPr>
              <w:jc w:val="left"/>
              <w:rPr>
                <w:sz w:val="16"/>
              </w:rPr>
            </w:pPr>
            <w:r>
              <w:rPr>
                <w:sz w:val="16"/>
              </w:rPr>
              <w:t>Р15: енергия от възобновяеми източници, произвеждана по подпомаганите проекти (област с поставен акцент 5В)*</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Повишило се е снабдяването с енергия от възобновяеми източници</w:t>
            </w:r>
          </w:p>
        </w:tc>
        <w:tc>
          <w:tcPr>
            <w:tcW w:w="1650" w:type="pct"/>
            <w:shd w:val="clear" w:color="auto" w:fill="FFFFFF"/>
            <w:tcMar>
              <w:top w:w="20" w:type="dxa"/>
              <w:left w:w="20" w:type="dxa"/>
              <w:bottom w:w="20" w:type="dxa"/>
            </w:tcMar>
          </w:tcPr>
          <w:p w:rsidR="00A1205A" w:rsidRDefault="009E0DC1">
            <w:pPr>
              <w:jc w:val="left"/>
              <w:rPr>
                <w:sz w:val="16"/>
              </w:rPr>
            </w:pPr>
            <w:r>
              <w:rPr>
                <w:sz w:val="16"/>
              </w:rPr>
              <w:t>T16: общ размер на инвестициите в производство на енергия от възобновяеми източници (област с поставен акцент 5В)</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Повишило се е използването на енергия от възобновяеми източници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Общ размер на инвестициите за използване на енергия от възобновяеми източници, подпомогнати по ПРСР;</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Повишило се е използването на енергия от възобновяеми източници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Общ размер на инвестициите за използване на енергия от възобновяеми източници, подпомогнати по ПРСР;</w:t>
            </w:r>
          </w:p>
        </w:tc>
      </w:tr>
    </w:tbl>
    <w:p w:rsidR="00A1205A" w:rsidRDefault="00A1205A">
      <w:pPr>
        <w:jc w:val="center"/>
        <w:rPr>
          <w:sz w:val="16"/>
        </w:rPr>
      </w:pPr>
    </w:p>
    <w:p w:rsidR="00A1205A" w:rsidRDefault="009E0DC1">
      <w:pPr>
        <w:pStyle w:val="Heading3"/>
        <w:jc w:val="left"/>
      </w:pPr>
      <w:bookmarkStart w:id="92" w:name="_Toc256000091"/>
      <w:r>
        <w:t>Прилагани методи</w:t>
      </w:r>
      <w:bookmarkEnd w:id="9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93" w:name="_Toc256000092"/>
      <w:r>
        <w:t>Количествени стойности на показателите и източници на данни</w:t>
      </w:r>
      <w:bookmarkEnd w:id="9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162"/>
        <w:gridCol w:w="1070"/>
        <w:gridCol w:w="871"/>
        <w:gridCol w:w="852"/>
        <w:gridCol w:w="911"/>
        <w:gridCol w:w="1222"/>
        <w:gridCol w:w="852"/>
        <w:gridCol w:w="2513"/>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Primary contribution</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Secondary contribution, including LEADER/CLLD contribution</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Р15: енергия от възобновяеми източници, произвеждана по подпомаганите проекти (област с поставен акцент 5В)*</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T16: общ размер на инвестициите в производство на енергия от възобновяеми източници (област с поставен акцент 5В)</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Общ размер на инвестициите за използване на енергия от възобновяеми източници, подпомогнати по ПРСР;</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Общ размер на инвестициите за използване на енергия от възобновяеми източници, подпомогнати по ПРСР;</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94" w:name="_Toc256000093"/>
      <w:r>
        <w:t>Идентифицирани проблеми, които влияят върху действителността и надеждността на констатациите от оценката</w:t>
      </w:r>
      <w:bookmarkEnd w:id="9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95" w:name="_Toc256000094"/>
      <w:r>
        <w:t>Отговор на въпрос за оценка</w:t>
      </w:r>
      <w:bookmarkEnd w:id="9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фокус област 5Б е в размер на 115 211 489 евро. ПРСР предвижда изпълнението на съответната фокус област да се постигне посредством прилагането на следните мерки:</w:t>
            </w:r>
          </w:p>
          <w:p w:rsidR="00A1205A" w:rsidRDefault="009E0DC1" w:rsidP="009E0DC1">
            <w:pPr>
              <w:numPr>
                <w:ilvl w:val="0"/>
                <w:numId w:val="56"/>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6"/>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6"/>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6"/>
              </w:numPr>
              <w:spacing w:before="0" w:after="0"/>
              <w:ind w:hanging="210"/>
              <w:jc w:val="left"/>
              <w:rPr>
                <w:szCs w:val="24"/>
              </w:rPr>
            </w:pPr>
            <w:r>
              <w:rPr>
                <w:szCs w:val="24"/>
              </w:rPr>
              <w:t>Мярка 7 „Основни услуги и обновяване на селата в селските райони“</w:t>
            </w:r>
          </w:p>
          <w:p w:rsidR="00A1205A" w:rsidRDefault="009E0DC1" w:rsidP="009E0DC1">
            <w:pPr>
              <w:numPr>
                <w:ilvl w:val="0"/>
                <w:numId w:val="56"/>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Към 31 декември 2016 г. е реализиран незначителен напредък по отношение на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 въз основа на реализирани инвестици в размер на  435 867 евро евро по един проект подмярка 4.1 „Инвестиции в земеделски стопанства“, при планиран финансов ресурс по мярка 4 „Инвестиции в материални активи“ в размер на 43 334 822 евро. Ниският интерес от страна на кандидатите е продиктуван от факта, че подпомагането на производство на възобновяема енергия по ПРСР е ограничено до подпомагане на мощности за задоволяване на  собственото потребление на кандидата за нуждите на земеделското стопанство.</w:t>
            </w:r>
          </w:p>
          <w:p w:rsidR="00A1205A" w:rsidRDefault="009E0DC1">
            <w:pPr>
              <w:spacing w:before="240" w:after="240"/>
              <w:jc w:val="left"/>
              <w:rPr>
                <w:szCs w:val="24"/>
              </w:rPr>
            </w:pPr>
            <w:r>
              <w:rPr>
                <w:szCs w:val="24"/>
              </w:rPr>
              <w:t>От друга страна в рамките на мярка 7 „Основни услуги и обновяване на селата в селските райони“ са панирани 70 млн. евро от бюджета във фоксу областта, представляващи над 60 % от заложените финансови средства по фокус област 5В. В стратегията на ПРСР е предвидено мярка 7 да подпомогне публични проекти за инвестиции във ВЕИ за собствено потребление.</w:t>
            </w:r>
          </w:p>
          <w:p w:rsidR="00A1205A" w:rsidRDefault="009E0DC1">
            <w:pPr>
              <w:spacing w:before="240" w:after="240"/>
              <w:jc w:val="left"/>
              <w:rPr>
                <w:szCs w:val="24"/>
              </w:rPr>
            </w:pPr>
            <w:r>
              <w:rPr>
                <w:szCs w:val="24"/>
              </w:rPr>
              <w:t>Въз основа на реализираните резултати се налага извода, че по отношение на предвидената подкрепа чрез мярка 4 „Инвестиции в материални активи“ не е оказан ефект по отношение на приноса на ПРСР за доставките и използването на възобновяеми източници на енергия, на странични продукти, отпадъци, остатъци и други нехранителни суровини за целите на биоикономиката.</w:t>
            </w:r>
          </w:p>
          <w:p w:rsidR="00A1205A" w:rsidRDefault="009E0DC1">
            <w:pPr>
              <w:spacing w:before="240" w:after="240"/>
              <w:jc w:val="left"/>
              <w:rPr>
                <w:szCs w:val="24"/>
              </w:rPr>
            </w:pPr>
            <w:r>
              <w:rPr>
                <w:szCs w:val="24"/>
              </w:rPr>
              <w:t>В тази връзка е необходимо да бъде анализиран финансовия ресурс, разпределен в рамките на съответната фокус област. Също така би било добре да се анализира до колко планираните средства ще бъдат изразходени, предвид ограничението по отношение на инвестициите за производството на енергия от възобновяеми източници.  В рамките на ПРСР те са приложими само за задоволяване на нуждите на съответното производство, но не е и за продажба.</w:t>
            </w:r>
          </w:p>
          <w:p w:rsidR="00A1205A" w:rsidRDefault="00A1205A">
            <w:pPr>
              <w:pStyle w:val="BodyText"/>
            </w:pPr>
          </w:p>
        </w:tc>
      </w:tr>
    </w:tbl>
    <w:p w:rsidR="00A1205A" w:rsidRDefault="009E0DC1">
      <w:pPr>
        <w:pStyle w:val="Heading3"/>
        <w:jc w:val="left"/>
      </w:pPr>
      <w:bookmarkStart w:id="96" w:name="_Toc256000095"/>
      <w:r>
        <w:t>Заключения и препоръки</w:t>
      </w:r>
      <w:bookmarkEnd w:id="96"/>
    </w:p>
    <w:p w:rsidR="00A1205A" w:rsidRDefault="009E0DC1">
      <w:pPr>
        <w:pStyle w:val="Heading2"/>
      </w:pPr>
      <w:bookmarkStart w:id="97" w:name="_Toc256000096"/>
      <w:r>
        <w:t>CEQ14-5D - До каква степен интервенциите по ПРСР са допринесли за намаляване на емисиите на парникови газове и на амоняк от селското стопанство?</w:t>
      </w:r>
      <w:bookmarkEnd w:id="97"/>
    </w:p>
    <w:p w:rsidR="00A1205A" w:rsidRDefault="009E0DC1">
      <w:pPr>
        <w:pStyle w:val="Heading3"/>
        <w:jc w:val="left"/>
      </w:pPr>
      <w:r>
        <w:br w:type="page"/>
      </w:r>
      <w:bookmarkStart w:id="98" w:name="_Toc256000097"/>
      <w:r>
        <w:t>Списък на мерките, допринасящи за акцентираната област</w:t>
      </w:r>
      <w:bookmarkEnd w:id="9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57"/>
              </w:numPr>
              <w:spacing w:before="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7"/>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7"/>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7"/>
              </w:numPr>
              <w:spacing w:before="0" w:after="0"/>
              <w:ind w:hanging="210"/>
              <w:jc w:val="left"/>
              <w:rPr>
                <w:szCs w:val="24"/>
              </w:rPr>
            </w:pPr>
            <w:r>
              <w:rPr>
                <w:szCs w:val="24"/>
              </w:rPr>
              <w:t>Мярка 10 „Агроекология и климат“</w:t>
            </w:r>
          </w:p>
          <w:p w:rsidR="00A1205A" w:rsidRDefault="009E0DC1" w:rsidP="009E0DC1">
            <w:pPr>
              <w:numPr>
                <w:ilvl w:val="0"/>
                <w:numId w:val="57"/>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99" w:name="_Toc256000098"/>
      <w:r>
        <w:t>Връзка между критериите за преценка, общите и допълнителните показатели за резултатите, използвани за отговор на ОВО</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Намалели са емисиите на парникови газове и амоняк от селското стопанство</w:t>
            </w:r>
          </w:p>
        </w:tc>
        <w:tc>
          <w:tcPr>
            <w:tcW w:w="1650" w:type="pct"/>
            <w:shd w:val="clear" w:color="auto" w:fill="FFFFFF"/>
            <w:tcMar>
              <w:top w:w="20" w:type="dxa"/>
              <w:left w:w="20" w:type="dxa"/>
              <w:bottom w:w="20" w:type="dxa"/>
            </w:tcMar>
          </w:tcPr>
          <w:p w:rsidR="00A1205A" w:rsidRDefault="009E0DC1">
            <w:pPr>
              <w:jc w:val="left"/>
              <w:rPr>
                <w:sz w:val="16"/>
              </w:rPr>
            </w:pPr>
            <w:r>
              <w:rPr>
                <w:sz w:val="16"/>
              </w:rPr>
              <w:t>Р18: намаляване на емисиите на метан и двуазотен оксид (област с поставен акцент 5Г)*</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Намалели са емисиите на парникови газове и амоняк от селското стопанство</w:t>
            </w:r>
          </w:p>
        </w:tc>
        <w:tc>
          <w:tcPr>
            <w:tcW w:w="1650" w:type="pct"/>
            <w:shd w:val="clear" w:color="auto" w:fill="FFFFFF"/>
            <w:tcMar>
              <w:top w:w="20" w:type="dxa"/>
              <w:left w:w="20" w:type="dxa"/>
              <w:bottom w:w="20" w:type="dxa"/>
            </w:tcMar>
          </w:tcPr>
          <w:p w:rsidR="00A1205A" w:rsidRDefault="009E0DC1">
            <w:pPr>
              <w:jc w:val="left"/>
              <w:rPr>
                <w:sz w:val="16"/>
              </w:rPr>
            </w:pPr>
            <w:r>
              <w:rPr>
                <w:sz w:val="16"/>
              </w:rPr>
              <w:t>Р19: намаляване на емисиите на амоняк (област с поставен акцент 5г)*</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Намалели са емисиите на парникови газове и амоняк от селското стопанство</w:t>
            </w:r>
          </w:p>
        </w:tc>
        <w:tc>
          <w:tcPr>
            <w:tcW w:w="1650" w:type="pct"/>
            <w:shd w:val="clear" w:color="auto" w:fill="FFFFFF"/>
            <w:tcMar>
              <w:top w:w="20" w:type="dxa"/>
              <w:left w:w="20" w:type="dxa"/>
              <w:bottom w:w="20" w:type="dxa"/>
            </w:tcMar>
          </w:tcPr>
          <w:p w:rsidR="00A1205A" w:rsidRDefault="009E0DC1">
            <w:pPr>
              <w:jc w:val="left"/>
              <w:rPr>
                <w:sz w:val="16"/>
              </w:rPr>
            </w:pPr>
            <w:r>
              <w:rPr>
                <w:sz w:val="16"/>
              </w:rPr>
              <w:t>R16 / 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Намалели са емисиите на парникови газове и амоняк от селското стопанство</w:t>
            </w:r>
          </w:p>
        </w:tc>
        <w:tc>
          <w:tcPr>
            <w:tcW w:w="1650" w:type="pct"/>
            <w:shd w:val="clear" w:color="auto" w:fill="FFFFFF"/>
            <w:tcMar>
              <w:top w:w="20" w:type="dxa"/>
              <w:left w:w="20" w:type="dxa"/>
              <w:bottom w:w="20" w:type="dxa"/>
            </w:tcMar>
          </w:tcPr>
          <w:p w:rsidR="00A1205A" w:rsidRDefault="009E0DC1">
            <w:pPr>
              <w:jc w:val="left"/>
              <w:rPr>
                <w:sz w:val="16"/>
              </w:rPr>
            </w:pPr>
            <w:r>
              <w:rPr>
                <w:sz w:val="16"/>
              </w:rPr>
              <w:t>R17 / 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100" w:name="_Toc256000099"/>
      <w:r>
        <w:t>Прилагани методи</w:t>
      </w:r>
      <w:bookmarkEnd w:id="10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01" w:name="_Toc256000100"/>
      <w:r>
        <w:t>Количествени стойности на показателите и източници на данни</w:t>
      </w:r>
      <w:bookmarkEnd w:id="1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1097"/>
        <w:gridCol w:w="1070"/>
        <w:gridCol w:w="871"/>
        <w:gridCol w:w="852"/>
        <w:gridCol w:w="911"/>
        <w:gridCol w:w="1222"/>
        <w:gridCol w:w="852"/>
        <w:gridCol w:w="2753"/>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Primary contribution</w:t>
            </w:r>
          </w:p>
        </w:tc>
        <w:tc>
          <w:tcPr>
            <w:tcW w:w="250" w:type="pct"/>
            <w:shd w:val="clear" w:color="auto" w:fill="C0C0C0"/>
            <w:tcMar>
              <w:top w:w="20" w:type="dxa"/>
              <w:left w:w="20" w:type="dxa"/>
              <w:bottom w:w="20" w:type="dxa"/>
            </w:tcMar>
          </w:tcPr>
          <w:p w:rsidR="00A1205A" w:rsidRDefault="009E0DC1">
            <w:pPr>
              <w:rPr>
                <w:sz w:val="16"/>
              </w:rPr>
            </w:pPr>
            <w:r>
              <w:rPr>
                <w:sz w:val="16"/>
              </w:rPr>
              <w:t>Calculated gross value out of which Secondary contribution, including LEADER/CLLD contribution</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Р18: намаляване на емисиите на метан и двуазотен оксид (област с поставен акцент 5Г)*</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Р19: намаляване на емисиите на амоняк (област с поставен акцент 5г)*</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R16 / 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R17 / 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102" w:name="_Toc256000101"/>
      <w:r>
        <w:t>Идентифицирани проблеми, които влияят върху действителността и надеждността на констатациите от оценката</w:t>
      </w:r>
      <w:bookmarkEnd w:id="10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03" w:name="_Toc256000102"/>
      <w:r>
        <w:t>Отговор на въпрос за оценка</w:t>
      </w:r>
      <w:bookmarkEnd w:id="103"/>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фокус област 5Б е в размер на 55 841 250 евро. ПРСР предвижда изпълнението на съответната фокус област да се постигне посредством прилагането на следните мерки:</w:t>
            </w:r>
          </w:p>
          <w:p w:rsidR="00A1205A" w:rsidRDefault="009E0DC1" w:rsidP="009E0DC1">
            <w:pPr>
              <w:numPr>
                <w:ilvl w:val="0"/>
                <w:numId w:val="58"/>
              </w:numPr>
              <w:spacing w:before="240" w:after="0"/>
              <w:ind w:hanging="210"/>
              <w:jc w:val="left"/>
              <w:rPr>
                <w:szCs w:val="24"/>
              </w:rPr>
            </w:pPr>
            <w:r>
              <w:rPr>
                <w:szCs w:val="24"/>
              </w:rPr>
              <w:t>Мярка 1 „Трансфер на знания и действия за осведомяване“</w:t>
            </w:r>
          </w:p>
          <w:p w:rsidR="00A1205A" w:rsidRDefault="009E0DC1" w:rsidP="009E0DC1">
            <w:pPr>
              <w:numPr>
                <w:ilvl w:val="0"/>
                <w:numId w:val="58"/>
              </w:numPr>
              <w:spacing w:before="0" w:after="0"/>
              <w:ind w:hanging="210"/>
              <w:jc w:val="left"/>
              <w:rPr>
                <w:szCs w:val="24"/>
              </w:rPr>
            </w:pPr>
            <w:r>
              <w:rPr>
                <w:szCs w:val="24"/>
              </w:rPr>
              <w:t>Мярка 2 „Консултантски услуги, услуги по управление на стопанство и услуги по заместване в стопанство“</w:t>
            </w:r>
          </w:p>
          <w:p w:rsidR="00A1205A" w:rsidRDefault="009E0DC1" w:rsidP="009E0DC1">
            <w:pPr>
              <w:numPr>
                <w:ilvl w:val="0"/>
                <w:numId w:val="58"/>
              </w:numPr>
              <w:spacing w:before="0" w:after="0"/>
              <w:ind w:hanging="210"/>
              <w:jc w:val="left"/>
              <w:rPr>
                <w:szCs w:val="24"/>
              </w:rPr>
            </w:pPr>
            <w:r>
              <w:rPr>
                <w:szCs w:val="24"/>
              </w:rPr>
              <w:t>Мярка 4 „Инвестиции в материални активи“</w:t>
            </w:r>
          </w:p>
          <w:p w:rsidR="00A1205A" w:rsidRDefault="009E0DC1" w:rsidP="009E0DC1">
            <w:pPr>
              <w:numPr>
                <w:ilvl w:val="0"/>
                <w:numId w:val="58"/>
              </w:numPr>
              <w:spacing w:before="0" w:after="0"/>
              <w:ind w:hanging="210"/>
              <w:jc w:val="left"/>
              <w:rPr>
                <w:szCs w:val="24"/>
              </w:rPr>
            </w:pPr>
            <w:r>
              <w:rPr>
                <w:szCs w:val="24"/>
              </w:rPr>
              <w:t>Мярка 10 „Агроекология и климат“</w:t>
            </w:r>
          </w:p>
          <w:p w:rsidR="00A1205A" w:rsidRDefault="009E0DC1" w:rsidP="009E0DC1">
            <w:pPr>
              <w:numPr>
                <w:ilvl w:val="0"/>
                <w:numId w:val="58"/>
              </w:numPr>
              <w:spacing w:before="0" w:after="240"/>
              <w:ind w:hanging="210"/>
              <w:jc w:val="left"/>
              <w:rPr>
                <w:szCs w:val="24"/>
              </w:rPr>
            </w:pPr>
            <w:r>
              <w:rPr>
                <w:szCs w:val="24"/>
              </w:rPr>
              <w:t>Мярка 16 „Сътрудничество“</w:t>
            </w:r>
          </w:p>
          <w:p w:rsidR="00A1205A" w:rsidRDefault="009E0DC1">
            <w:pPr>
              <w:spacing w:before="240" w:after="240"/>
              <w:jc w:val="left"/>
              <w:rPr>
                <w:szCs w:val="24"/>
              </w:rPr>
            </w:pPr>
            <w:r>
              <w:rPr>
                <w:szCs w:val="24"/>
              </w:rPr>
              <w:t>Към 31 декември 2016 г. е отбелязан напредък по отношение на намаляване на емисиите на парникови газове и на амоняк от селското стопанство в резултат на изпълнението на подмярка 4.1 „Инвестиции в земеделски стопанства“ и мярка 10 „Агроекология и климат“.</w:t>
            </w:r>
          </w:p>
          <w:p w:rsidR="00A1205A" w:rsidRDefault="009E0DC1">
            <w:pPr>
              <w:spacing w:before="240" w:after="240"/>
              <w:jc w:val="left"/>
              <w:rPr>
                <w:szCs w:val="24"/>
              </w:rPr>
            </w:pPr>
            <w:r>
              <w:rPr>
                <w:szCs w:val="24"/>
              </w:rPr>
              <w:t>В рамките на мярка 10 „Агрокеология и климат“ са поети ангажименти на стойност 13 869 267 евро в рамките на съответната фокус област в резултат на което процентът на земеделска земя, обхваната от договори за управление за намаляване на емисиите на парникови газове и/или амоняк възлиза на 0.54 % при планирани 0.16 %.</w:t>
            </w:r>
          </w:p>
          <w:p w:rsidR="00A1205A" w:rsidRDefault="009E0DC1">
            <w:pPr>
              <w:spacing w:before="240" w:after="240"/>
              <w:jc w:val="left"/>
              <w:rPr>
                <w:szCs w:val="24"/>
              </w:rPr>
            </w:pPr>
            <w:r>
              <w:rPr>
                <w:szCs w:val="24"/>
              </w:rPr>
              <w:t>Също така в рамките на подмярка 4.1 „Инвестиции в земеделски стопанства“ са поети анагжименти на стойност 768 229 евро за инвестиции, допринасящи за постигане на ефект в съответната фокус област, което представлява 1.8 % спрямо заложената стойност по подмярката.</w:t>
            </w:r>
          </w:p>
          <w:p w:rsidR="00A1205A" w:rsidRDefault="009E0DC1">
            <w:pPr>
              <w:spacing w:before="240" w:after="240"/>
              <w:jc w:val="left"/>
              <w:rPr>
                <w:szCs w:val="24"/>
              </w:rPr>
            </w:pPr>
            <w:r>
              <w:rPr>
                <w:szCs w:val="24"/>
              </w:rPr>
              <w:t>Въз основа на изпълняваните агроекологични ангажименти по мярка 10 и обхванатия процент на земеделска земя може да се направи извод, че е отбелязан съществен напредък по отношение на намаляване на емисиите на парникови газове и на амоняк от селското стопанство. От друга страна над 76 % от предвидените средства за изпълнение на целта са предвидени в рамките на подмярка 4.1, където въз основа на сключените договори по заявления в рамките на първи период на прием не е отбелязан голям интерес от страна на земеделските стопани за инвестиции в тази насока. </w:t>
            </w:r>
          </w:p>
          <w:p w:rsidR="00A1205A" w:rsidRDefault="00A1205A">
            <w:pPr>
              <w:pStyle w:val="BodyText"/>
            </w:pPr>
          </w:p>
        </w:tc>
      </w:tr>
    </w:tbl>
    <w:p w:rsidR="00A1205A" w:rsidRDefault="009E0DC1">
      <w:pPr>
        <w:pStyle w:val="Heading3"/>
        <w:jc w:val="left"/>
      </w:pPr>
      <w:bookmarkStart w:id="104" w:name="_Toc256000103"/>
      <w:r>
        <w:t>Заключения и препоръки</w:t>
      </w:r>
      <w:bookmarkEnd w:id="104"/>
    </w:p>
    <w:p w:rsidR="00A1205A" w:rsidRDefault="009E0DC1">
      <w:pPr>
        <w:pStyle w:val="Heading2"/>
      </w:pPr>
      <w:bookmarkStart w:id="105" w:name="_Toc256000104"/>
      <w:r>
        <w:t>CEQ17-6B - До каква степен интервенциите по ПРСР са подпомогнали местното развитие в селските райони?</w:t>
      </w:r>
      <w:bookmarkEnd w:id="105"/>
    </w:p>
    <w:p w:rsidR="00A1205A" w:rsidRDefault="009E0DC1">
      <w:pPr>
        <w:pStyle w:val="Heading3"/>
        <w:jc w:val="left"/>
      </w:pPr>
      <w:r>
        <w:br w:type="page"/>
      </w:r>
      <w:bookmarkStart w:id="106" w:name="_Toc256000105"/>
      <w:r>
        <w:t>Списък на мерките, допринасящи за акцентираната област</w:t>
      </w:r>
      <w:bookmarkEnd w:id="10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sidP="009E0DC1">
            <w:pPr>
              <w:numPr>
                <w:ilvl w:val="0"/>
                <w:numId w:val="59"/>
              </w:numPr>
              <w:spacing w:before="0" w:after="0"/>
              <w:ind w:hanging="210"/>
              <w:jc w:val="left"/>
              <w:rPr>
                <w:szCs w:val="24"/>
              </w:rPr>
            </w:pPr>
            <w:r>
              <w:rPr>
                <w:szCs w:val="24"/>
              </w:rPr>
              <w:t>Мярка 7 „Основни услуги и обновяване на селата в селските райони“</w:t>
            </w:r>
          </w:p>
          <w:p w:rsidR="00A1205A" w:rsidRDefault="009E0DC1" w:rsidP="009E0DC1">
            <w:pPr>
              <w:numPr>
                <w:ilvl w:val="0"/>
                <w:numId w:val="59"/>
              </w:numPr>
              <w:spacing w:before="0" w:after="240"/>
              <w:ind w:hanging="210"/>
              <w:jc w:val="left"/>
              <w:rPr>
                <w:szCs w:val="24"/>
              </w:rPr>
            </w:pPr>
            <w:r>
              <w:rPr>
                <w:szCs w:val="24"/>
              </w:rPr>
              <w:t>Mярка 19 „Подкрепа за местно развитие по LEADER (ВОМР)“</w:t>
            </w:r>
          </w:p>
          <w:p w:rsidR="00A1205A" w:rsidRDefault="009E0DC1">
            <w:pPr>
              <w:spacing w:before="24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07" w:name="_Toc256000106"/>
      <w:r>
        <w:t>Връзка между критериите за преценка, общите и допълнителните показатели за резултатите, използвани за отговор на ОВО</w:t>
      </w:r>
      <w:bookmarkEnd w:id="1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2"/>
        <w:gridCol w:w="3523"/>
        <w:gridCol w:w="3523"/>
      </w:tblGrid>
      <w:tr w:rsidR="00A1205A">
        <w:tc>
          <w:tcPr>
            <w:tcW w:w="1650" w:type="pct"/>
            <w:shd w:val="clear" w:color="auto" w:fill="C0C0C0"/>
            <w:tcMar>
              <w:top w:w="20" w:type="dxa"/>
              <w:left w:w="20" w:type="dxa"/>
              <w:bottom w:w="20" w:type="dxa"/>
            </w:tcMar>
            <w:vAlign w:val="center"/>
          </w:tcPr>
          <w:p w:rsidR="00A1205A" w:rsidRDefault="009E0DC1">
            <w:pPr>
              <w:rPr>
                <w:sz w:val="16"/>
              </w:rPr>
            </w:pPr>
            <w:r>
              <w:rPr>
                <w:sz w:val="16"/>
              </w:rPr>
              <w:t>Критерии за преценка</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Общ показател за резултатите</w:t>
            </w:r>
          </w:p>
        </w:tc>
        <w:tc>
          <w:tcPr>
            <w:tcW w:w="1650" w:type="pct"/>
            <w:shd w:val="clear" w:color="auto" w:fill="C0C0C0"/>
            <w:tcMar>
              <w:top w:w="20" w:type="dxa"/>
              <w:left w:w="20" w:type="dxa"/>
              <w:bottom w:w="20" w:type="dxa"/>
            </w:tcMar>
            <w:vAlign w:val="center"/>
          </w:tcPr>
          <w:p w:rsidR="00A1205A" w:rsidRDefault="009E0DC1">
            <w:pPr>
              <w:rPr>
                <w:sz w:val="16"/>
              </w:rPr>
            </w:pPr>
            <w:r>
              <w:rPr>
                <w:sz w:val="16"/>
              </w:rPr>
              <w:t>Допълнителен показател за резултати</w:t>
            </w:r>
          </w:p>
        </w:tc>
      </w:tr>
      <w:tr w:rsidR="00A1205A">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Процент на разходите по ПРСР за мерки по LEADER спрямо сумарните средства, отпуснати по ПРСР</w:t>
            </w:r>
          </w:p>
        </w:tc>
      </w:tr>
      <w:tr w:rsidR="00A1205A">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9E0DC1">
            <w:pPr>
              <w:jc w:val="left"/>
              <w:rPr>
                <w:sz w:val="16"/>
              </w:rPr>
            </w:pPr>
            <w:r>
              <w:rPr>
                <w:sz w:val="16"/>
              </w:rPr>
              <w:t>Брой проекти/инициативи, които са подпомогнати от стратегията за местно развитие</w:t>
            </w: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Създадени са възможности за заетост чрез стратегии за местно развитие</w:t>
            </w:r>
          </w:p>
        </w:tc>
        <w:tc>
          <w:tcPr>
            <w:tcW w:w="1650" w:type="pct"/>
            <w:shd w:val="clear" w:color="auto" w:fill="FFFFFF"/>
            <w:tcMar>
              <w:top w:w="20" w:type="dxa"/>
              <w:left w:w="20" w:type="dxa"/>
              <w:bottom w:w="20" w:type="dxa"/>
            </w:tcMar>
          </w:tcPr>
          <w:p w:rsidR="00A1205A" w:rsidRDefault="009E0DC1">
            <w:pPr>
              <w:jc w:val="left"/>
              <w:rPr>
                <w:sz w:val="16"/>
              </w:rPr>
            </w:pPr>
            <w:r>
              <w:rPr>
                <w:sz w:val="16"/>
              </w:rPr>
              <w:t>R24 / T23: работни места, разкрити в подпомогнатите проекти (LEADER) (област с поставен акцент 6Б)</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Увелича се е територията и се е повишил броят на хората в селските райони, обхванати от дейността на местните групи за действие</w:t>
            </w:r>
          </w:p>
        </w:tc>
        <w:tc>
          <w:tcPr>
            <w:tcW w:w="1650" w:type="pct"/>
            <w:shd w:val="clear" w:color="auto" w:fill="FFFFFF"/>
            <w:tcMar>
              <w:top w:w="20" w:type="dxa"/>
              <w:left w:w="20" w:type="dxa"/>
              <w:bottom w:w="20" w:type="dxa"/>
            </w:tcMar>
          </w:tcPr>
          <w:p w:rsidR="00A1205A" w:rsidRDefault="009E0DC1">
            <w:pPr>
              <w:jc w:val="left"/>
              <w:rPr>
                <w:sz w:val="16"/>
              </w:rPr>
            </w:pPr>
            <w:r>
              <w:rPr>
                <w:sz w:val="16"/>
              </w:rPr>
              <w:t>R22 / T21: процент от населението в селските райони, обхванато от стратегии за местно развитие (област с поставен акцент 6Б)</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Разраснал се е достъпът до услуги и до местната инфраструктура в селските райони</w:t>
            </w:r>
          </w:p>
        </w:tc>
        <w:tc>
          <w:tcPr>
            <w:tcW w:w="1650" w:type="pct"/>
            <w:shd w:val="clear" w:color="auto" w:fill="FFFFFF"/>
            <w:tcMar>
              <w:top w:w="20" w:type="dxa"/>
              <w:left w:w="20" w:type="dxa"/>
              <w:bottom w:w="20" w:type="dxa"/>
            </w:tcMar>
          </w:tcPr>
          <w:p w:rsidR="00A1205A" w:rsidRDefault="009E0DC1">
            <w:pPr>
              <w:jc w:val="left"/>
              <w:rPr>
                <w:sz w:val="16"/>
              </w:rPr>
            </w:pPr>
            <w:r>
              <w:rPr>
                <w:sz w:val="16"/>
              </w:rPr>
              <w:t>R23 / T22: процент от населението в селските райони, което се възползва от подобрените услуги/инфраструктура (област с поставен акцент 6Б)</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Подобрили са се услугите и местната инфраструктура в селските райони</w:t>
            </w:r>
          </w:p>
        </w:tc>
        <w:tc>
          <w:tcPr>
            <w:tcW w:w="1650" w:type="pct"/>
            <w:shd w:val="clear" w:color="auto" w:fill="FFFFFF"/>
            <w:tcMar>
              <w:top w:w="20" w:type="dxa"/>
              <w:left w:w="20" w:type="dxa"/>
              <w:bottom w:w="20" w:type="dxa"/>
            </w:tcMar>
          </w:tcPr>
          <w:p w:rsidR="00A1205A" w:rsidRDefault="009E0DC1">
            <w:pPr>
              <w:jc w:val="left"/>
              <w:rPr>
                <w:sz w:val="16"/>
              </w:rPr>
            </w:pPr>
            <w:r>
              <w:rPr>
                <w:sz w:val="16"/>
              </w:rPr>
              <w:t>R23 / T22: процент от населението в селските райони, което се възползва от подобрените услуги/инфраструктура (област с поставен акцент 6Б)</w:t>
            </w: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Населението на селските райони се е включило в местни действия</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A1205A">
            <w:pPr>
              <w:jc w:val="left"/>
              <w:rPr>
                <w:sz w:val="16"/>
              </w:rPr>
            </w:pPr>
          </w:p>
        </w:tc>
      </w:tr>
      <w:tr w:rsidR="00A1205A">
        <w:tc>
          <w:tcPr>
            <w:tcW w:w="1650" w:type="pct"/>
            <w:shd w:val="clear" w:color="auto" w:fill="FFFFFF"/>
            <w:tcMar>
              <w:top w:w="20" w:type="dxa"/>
              <w:left w:w="20" w:type="dxa"/>
              <w:bottom w:w="20" w:type="dxa"/>
            </w:tcMar>
          </w:tcPr>
          <w:p w:rsidR="00A1205A" w:rsidRDefault="009E0DC1">
            <w:pPr>
              <w:jc w:val="left"/>
              <w:rPr>
                <w:sz w:val="16"/>
              </w:rPr>
            </w:pPr>
            <w:r>
              <w:rPr>
                <w:sz w:val="16"/>
              </w:rPr>
              <w:t>Местни действия са били от полза за населението в селските райони</w:t>
            </w:r>
          </w:p>
        </w:tc>
        <w:tc>
          <w:tcPr>
            <w:tcW w:w="1650" w:type="pct"/>
            <w:shd w:val="clear" w:color="auto" w:fill="FFFFFF"/>
            <w:tcMar>
              <w:top w:w="20" w:type="dxa"/>
              <w:left w:w="20" w:type="dxa"/>
              <w:bottom w:w="20" w:type="dxa"/>
            </w:tcMar>
          </w:tcPr>
          <w:p w:rsidR="00A1205A" w:rsidRDefault="00A1205A">
            <w:pPr>
              <w:jc w:val="left"/>
              <w:rPr>
                <w:sz w:val="16"/>
              </w:rPr>
            </w:pPr>
          </w:p>
        </w:tc>
        <w:tc>
          <w:tcPr>
            <w:tcW w:w="1650" w:type="pct"/>
            <w:shd w:val="clear" w:color="auto" w:fill="FFFFFF"/>
            <w:tcMar>
              <w:top w:w="20" w:type="dxa"/>
              <w:left w:w="20" w:type="dxa"/>
              <w:bottom w:w="20" w:type="dxa"/>
            </w:tcMa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108" w:name="_Toc256000107"/>
      <w:r>
        <w:t>Прилагани методи</w:t>
      </w:r>
      <w:bookmarkEnd w:id="10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650" w:type="pct"/>
            <w:shd w:val="clear" w:color="auto" w:fill="auto"/>
            <w:tcMar>
              <w:top w:w="20" w:type="dxa"/>
              <w:left w:w="20" w:type="dxa"/>
              <w:bottom w:w="20" w:type="dxa"/>
            </w:tcMa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09" w:name="_Toc256000108"/>
      <w:r>
        <w:t>Количествени стойности на показателите и източници на данни</w:t>
      </w:r>
      <w:bookmarkEnd w:id="1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5"/>
        <w:gridCol w:w="1842"/>
        <w:gridCol w:w="1070"/>
        <w:gridCol w:w="871"/>
        <w:gridCol w:w="852"/>
        <w:gridCol w:w="852"/>
        <w:gridCol w:w="3966"/>
      </w:tblGrid>
      <w:tr w:rsidR="00A1205A">
        <w:tc>
          <w:tcPr>
            <w:tcW w:w="500" w:type="pct"/>
            <w:shd w:val="clear" w:color="auto" w:fill="C0C0C0"/>
            <w:tcMar>
              <w:top w:w="20" w:type="dxa"/>
              <w:left w:w="20" w:type="dxa"/>
              <w:bottom w:w="20" w:type="dxa"/>
            </w:tcMar>
          </w:tcPr>
          <w:p w:rsidR="00A1205A" w:rsidRDefault="009E0DC1">
            <w:pPr>
              <w:rPr>
                <w:sz w:val="16"/>
              </w:rPr>
            </w:pPr>
            <w:r>
              <w:rPr>
                <w:sz w:val="16"/>
              </w:rPr>
              <w:t>Вид показател</w:t>
            </w:r>
          </w:p>
        </w:tc>
        <w:tc>
          <w:tcPr>
            <w:tcW w:w="1000" w:type="pct"/>
            <w:shd w:val="clear" w:color="auto" w:fill="C0C0C0"/>
            <w:tcMar>
              <w:top w:w="20" w:type="dxa"/>
              <w:left w:w="20" w:type="dxa"/>
              <w:bottom w:w="20" w:type="dxa"/>
            </w:tcMar>
          </w:tcPr>
          <w:p w:rsidR="00A1205A" w:rsidRDefault="009E0DC1">
            <w:pPr>
              <w:rPr>
                <w:sz w:val="16"/>
              </w:rPr>
            </w:pPr>
            <w:r>
              <w:rPr>
                <w:sz w:val="16"/>
              </w:rPr>
              <w:t>Код и наименование на показателя (мерна единица)</w:t>
            </w:r>
          </w:p>
        </w:tc>
        <w:tc>
          <w:tcPr>
            <w:tcW w:w="250" w:type="pct"/>
            <w:shd w:val="clear" w:color="auto" w:fill="C0C0C0"/>
            <w:tcMar>
              <w:top w:w="20" w:type="dxa"/>
              <w:left w:w="20" w:type="dxa"/>
              <w:bottom w:w="20" w:type="dxa"/>
            </w:tcMar>
          </w:tcPr>
          <w:p w:rsidR="00A1205A" w:rsidRDefault="009E0DC1">
            <w:pPr>
              <w:rPr>
                <w:sz w:val="16"/>
              </w:rPr>
            </w:pPr>
            <w:r>
              <w:rPr>
                <w:sz w:val="16"/>
              </w:rPr>
              <w:t>Съотношение</w:t>
            </w:r>
          </w:p>
        </w:tc>
        <w:tc>
          <w:tcPr>
            <w:tcW w:w="250" w:type="pct"/>
            <w:shd w:val="clear" w:color="auto" w:fill="C0C0C0"/>
            <w:tcMar>
              <w:top w:w="20" w:type="dxa"/>
              <w:left w:w="20" w:type="dxa"/>
              <w:bottom w:w="20" w:type="dxa"/>
            </w:tcMar>
          </w:tcPr>
          <w:p w:rsidR="00A1205A" w:rsidRDefault="009E0DC1">
            <w:pPr>
              <w:rPr>
                <w:sz w:val="16"/>
              </w:rPr>
            </w:pPr>
            <w:r>
              <w:rPr>
                <w:sz w:val="16"/>
              </w:rPr>
              <w:t>Стойност на показателя</w:t>
            </w:r>
          </w:p>
        </w:tc>
        <w:tc>
          <w:tcPr>
            <w:tcW w:w="250" w:type="pct"/>
            <w:shd w:val="clear" w:color="auto" w:fill="C0C0C0"/>
            <w:tcMar>
              <w:top w:w="20" w:type="dxa"/>
              <w:left w:w="20" w:type="dxa"/>
              <w:bottom w:w="20" w:type="dxa"/>
            </w:tcMar>
          </w:tcPr>
          <w:p w:rsidR="00A1205A" w:rsidRDefault="009E0DC1">
            <w:pPr>
              <w:rPr>
                <w:sz w:val="16"/>
              </w:rPr>
            </w:pPr>
            <w:r>
              <w:rPr>
                <w:sz w:val="16"/>
              </w:rPr>
              <w:t>Изчислена брутна стойност</w:t>
            </w:r>
          </w:p>
        </w:tc>
        <w:tc>
          <w:tcPr>
            <w:tcW w:w="250" w:type="pct"/>
            <w:shd w:val="clear" w:color="auto" w:fill="C0C0C0"/>
            <w:tcMar>
              <w:top w:w="20" w:type="dxa"/>
              <w:left w:w="20" w:type="dxa"/>
              <w:bottom w:w="20" w:type="dxa"/>
            </w:tcMar>
          </w:tcPr>
          <w:p w:rsidR="00A1205A" w:rsidRDefault="009E0DC1">
            <w:pPr>
              <w:rPr>
                <w:sz w:val="16"/>
              </w:rPr>
            </w:pPr>
            <w:r>
              <w:rPr>
                <w:sz w:val="16"/>
              </w:rPr>
              <w:t>Изчислена нетна стойност</w:t>
            </w:r>
          </w:p>
        </w:tc>
        <w:tc>
          <w:tcPr>
            <w:tcW w:w="1750" w:type="pct"/>
            <w:shd w:val="clear" w:color="auto" w:fill="C0C0C0"/>
            <w:tcMar>
              <w:top w:w="20" w:type="dxa"/>
              <w:left w:w="20" w:type="dxa"/>
              <w:bottom w:w="20" w:type="dxa"/>
            </w:tcMar>
          </w:tcPr>
          <w:p w:rsidR="00A1205A" w:rsidRDefault="009E0DC1">
            <w:pPr>
              <w:rPr>
                <w:sz w:val="16"/>
              </w:rPr>
            </w:pPr>
            <w:r>
              <w:rPr>
                <w:sz w:val="16"/>
              </w:rPr>
              <w:t>Източници на данни и информация</w:t>
            </w: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R22 / T21: процент от населението в селските райони, обхванато от стратегии за местно развитие (област с поставен акцент 6Б)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R23 / T22: процент от населението в селските райони, което се възползва от подобрените услуги/инфраструктура (област с поставен акцент 6Б)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Общ показател за резултатите</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R24 / T23: работни места, разкрити в подпомогнатите проекти (LEADER) (област с поставен акцент 6Б)</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Брой проекти/инициативи, които са подпомогнати от стратегията за местно развитие</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r w:rsidR="00A1205A">
        <w:tc>
          <w:tcPr>
            <w:tcW w:w="500" w:type="pct"/>
            <w:shd w:val="clear" w:color="auto" w:fill="FFFFFF"/>
            <w:tcMar>
              <w:top w:w="20" w:type="dxa"/>
              <w:left w:w="20" w:type="dxa"/>
              <w:bottom w:w="20" w:type="dxa"/>
            </w:tcMar>
            <w:vAlign w:val="center"/>
          </w:tcPr>
          <w:p w:rsidR="00A1205A" w:rsidRDefault="009E0DC1">
            <w:pPr>
              <w:jc w:val="left"/>
              <w:rPr>
                <w:sz w:val="16"/>
              </w:rPr>
            </w:pPr>
            <w:r>
              <w:rPr>
                <w:sz w:val="16"/>
              </w:rPr>
              <w:t>Допълнителен показател за резултати</w:t>
            </w:r>
          </w:p>
        </w:tc>
        <w:tc>
          <w:tcPr>
            <w:tcW w:w="1000" w:type="pct"/>
            <w:shd w:val="clear" w:color="auto" w:fill="FFFFFF"/>
            <w:tcMar>
              <w:top w:w="20" w:type="dxa"/>
              <w:left w:w="20" w:type="dxa"/>
              <w:bottom w:w="20" w:type="dxa"/>
            </w:tcMar>
            <w:vAlign w:val="center"/>
          </w:tcPr>
          <w:p w:rsidR="00A1205A" w:rsidRDefault="009E0DC1">
            <w:pPr>
              <w:jc w:val="left"/>
              <w:rPr>
                <w:sz w:val="16"/>
              </w:rPr>
            </w:pPr>
            <w:r>
              <w:rPr>
                <w:sz w:val="16"/>
              </w:rPr>
              <w:t>Процент на разходите по ПРСР за мерки по LEADER спрямо сумарните средства, отпуснати по ПРСР</w:t>
            </w:r>
          </w:p>
        </w:tc>
        <w:tc>
          <w:tcPr>
            <w:tcW w:w="250" w:type="pct"/>
            <w:shd w:val="clear" w:color="auto" w:fill="FFFFFF"/>
            <w:tcMar>
              <w:top w:w="20" w:type="dxa"/>
              <w:left w:w="20" w:type="dxa"/>
              <w:bottom w:w="20" w:type="dxa"/>
            </w:tcMar>
            <w:vAlign w:val="center"/>
          </w:tcPr>
          <w:p w:rsidR="00A1205A" w:rsidRDefault="009E0DC1">
            <w:pPr>
              <w:jc w:val="center"/>
              <w:rPr>
                <w:sz w:val="16"/>
              </w:rPr>
            </w:pPr>
            <w:r>
              <w:rPr>
                <w:sz w:val="16"/>
              </w:rPr>
              <w:t>Не</w:t>
            </w: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250" w:type="pct"/>
            <w:shd w:val="clear" w:color="auto" w:fill="FFFFFF"/>
            <w:tcMar>
              <w:top w:w="20" w:type="dxa"/>
              <w:left w:w="20" w:type="dxa"/>
              <w:bottom w:w="20" w:type="dxa"/>
            </w:tcMar>
            <w:vAlign w:val="center"/>
          </w:tcPr>
          <w:p w:rsidR="00A1205A" w:rsidRDefault="00A1205A">
            <w:pPr>
              <w:jc w:val="right"/>
              <w:rPr>
                <w:sz w:val="16"/>
              </w:rPr>
            </w:pPr>
          </w:p>
        </w:tc>
        <w:tc>
          <w:tcPr>
            <w:tcW w:w="1750" w:type="pct"/>
            <w:shd w:val="clear" w:color="auto" w:fill="FFFFFF"/>
            <w:tcMar>
              <w:top w:w="20" w:type="dxa"/>
              <w:left w:w="20" w:type="dxa"/>
              <w:bottom w:w="20" w:type="dxa"/>
            </w:tcMar>
            <w:vAlign w:val="center"/>
          </w:tcPr>
          <w:p w:rsidR="00A1205A" w:rsidRDefault="00A1205A">
            <w:pPr>
              <w:jc w:val="left"/>
              <w:rPr>
                <w:sz w:val="16"/>
              </w:rPr>
            </w:pPr>
          </w:p>
        </w:tc>
      </w:tr>
    </w:tbl>
    <w:p w:rsidR="00A1205A" w:rsidRDefault="00A1205A">
      <w:pPr>
        <w:jc w:val="center"/>
        <w:rPr>
          <w:sz w:val="16"/>
        </w:rPr>
      </w:pPr>
    </w:p>
    <w:p w:rsidR="00A1205A" w:rsidRDefault="009E0DC1">
      <w:pPr>
        <w:pStyle w:val="Heading3"/>
        <w:jc w:val="left"/>
      </w:pPr>
      <w:bookmarkStart w:id="110" w:name="_Toc256000109"/>
      <w:r>
        <w:t>Идентифицирани проблеми, които влияят върху действителността и надеждността на констатациите от оценката</w:t>
      </w:r>
      <w:bookmarkEnd w:id="11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11" w:name="_Toc256000110"/>
      <w:r>
        <w:t>Отговор на въпрос за оценка</w:t>
      </w:r>
      <w:bookmarkEnd w:id="11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Планирания финансов ресурс в рамките на фокус област 6Б е в размер на 657 210 187 евро. ПРСР предвижда изпълнението на съответната фокус област да се постигне посредством прилагането на следните мерки:</w:t>
            </w:r>
          </w:p>
          <w:p w:rsidR="00A1205A" w:rsidRDefault="009E0DC1" w:rsidP="009E0DC1">
            <w:pPr>
              <w:numPr>
                <w:ilvl w:val="0"/>
                <w:numId w:val="60"/>
              </w:numPr>
              <w:spacing w:before="240" w:after="0"/>
              <w:ind w:hanging="210"/>
              <w:jc w:val="left"/>
              <w:rPr>
                <w:szCs w:val="24"/>
              </w:rPr>
            </w:pPr>
            <w:r>
              <w:rPr>
                <w:szCs w:val="24"/>
              </w:rPr>
              <w:t>Мярка 7 „Основни услуги и обновяване на селата в селските райони“</w:t>
            </w:r>
          </w:p>
          <w:p w:rsidR="00A1205A" w:rsidRDefault="009E0DC1" w:rsidP="009E0DC1">
            <w:pPr>
              <w:numPr>
                <w:ilvl w:val="0"/>
                <w:numId w:val="60"/>
              </w:numPr>
              <w:spacing w:before="0" w:after="240"/>
              <w:ind w:hanging="210"/>
              <w:jc w:val="left"/>
              <w:rPr>
                <w:szCs w:val="24"/>
              </w:rPr>
            </w:pPr>
            <w:r>
              <w:rPr>
                <w:szCs w:val="24"/>
              </w:rPr>
              <w:t>Mярка 19 „Подкрепа за местно развитие по LEADER (ВОМР)“</w:t>
            </w:r>
          </w:p>
          <w:p w:rsidR="00A1205A" w:rsidRDefault="009E0DC1">
            <w:pPr>
              <w:spacing w:before="240" w:after="240"/>
              <w:jc w:val="left"/>
              <w:rPr>
                <w:szCs w:val="24"/>
              </w:rPr>
            </w:pPr>
            <w:r>
              <w:rPr>
                <w:szCs w:val="24"/>
              </w:rPr>
              <w:t>Към 31 дември 2016 г. е отбелязан напредък по отношение на изпълнението на фокус област 6Б посредством стартирането и изпълнението на подмярка 7.2 „Инвестиции в създаването, подобряването или разширяването на всички видове малка по мащаби инфраструктура“, подмярка 7.6 „Проучвания и инвестиции, свързани с поддържане, възстановяване и  на културното и природното наследство на селата“ и подмярка 19.2 „Прилагане на операции в рамките на стратегии за водено от общностите местно развитие“.</w:t>
            </w:r>
          </w:p>
          <w:p w:rsidR="00A1205A" w:rsidRDefault="009E0DC1">
            <w:pPr>
              <w:spacing w:before="240" w:after="240"/>
              <w:jc w:val="left"/>
              <w:rPr>
                <w:szCs w:val="24"/>
              </w:rPr>
            </w:pPr>
            <w:r>
              <w:rPr>
                <w:szCs w:val="24"/>
              </w:rPr>
              <w:t>През годината е проведен прием на заявления за подпомагане по подмярка 7.6 в рамките на който са подадени 348 заявления за подпомагане със заявени разходи в размер на 107 246 342 евро. През годината е проведен и прием на заявления по подмярка 7.2 в рамките на който са постъпили 925 заявления със заявени разходи в размер на 1 080 261 540 евро. Към 31 декември 2016 г. всички постъпили заявления по съответните подмерки са в процес на обработка, като е приключена предварителната оценка на критериите за подбор на съответните проекти. До края на годината не са одобрявани заявления за подпомагане.</w:t>
            </w:r>
          </w:p>
          <w:p w:rsidR="00A1205A" w:rsidRDefault="009E0DC1">
            <w:pPr>
              <w:spacing w:before="240" w:after="240"/>
              <w:jc w:val="left"/>
              <w:rPr>
                <w:szCs w:val="24"/>
              </w:rPr>
            </w:pPr>
            <w:r>
              <w:rPr>
                <w:szCs w:val="24"/>
              </w:rPr>
              <w:t>През първата половина на годината е проведена процедура за прием на заявления по подмярка 19.2 за одобрение на местни инициативни групи за прилагане на стратегии за водено от общностите местно развитие. В рамките на приема са постъпили общо 53 заявления за подпомагане за прилагане на стратегии за ВОМР, обхващащи 99 общини и население от 1 328 853 жители. Общият размер на заявените разходи в размките на подадените заявления възлиза на 116 054 102 евро, от които от ЕЗФРСР в размер на 74 285 147евро и 41 768 955евро от ЕФРР и ЕСФ.</w:t>
            </w:r>
          </w:p>
          <w:p w:rsidR="00A1205A" w:rsidRDefault="009E0DC1">
            <w:pPr>
              <w:spacing w:before="240" w:after="240"/>
              <w:jc w:val="left"/>
              <w:rPr>
                <w:szCs w:val="24"/>
              </w:rPr>
            </w:pPr>
            <w:r>
              <w:rPr>
                <w:szCs w:val="24"/>
              </w:rPr>
              <w:t>В резултат на обработка на постъпилите заявления към 31 декември 2016 г. са одобрени 40 стратегии за ВОМР, ангажиращи 57 488 222 евро от бюджета на ПРСР, 1 609 057 евро от бюджета на ОПОС (ЕФРР), 15 226 234 евро от бюджета на ОПИК (ЕФРР) и 11 116 957 евро от бюджета на ОПРЧР (ЕСФ).</w:t>
            </w:r>
          </w:p>
          <w:p w:rsidR="00A1205A" w:rsidRDefault="009E0DC1">
            <w:pPr>
              <w:spacing w:before="240" w:after="240"/>
              <w:jc w:val="left"/>
              <w:rPr>
                <w:szCs w:val="24"/>
              </w:rPr>
            </w:pPr>
            <w:r>
              <w:rPr>
                <w:szCs w:val="24"/>
              </w:rPr>
              <w:t>Одобрените стратегии обхващат 74 общини от селските райони на Република България, в рамките на които от помощта ще бъдат облагодетелствани 1 047 819 жители.</w:t>
            </w:r>
          </w:p>
          <w:p w:rsidR="00A1205A" w:rsidRDefault="009E0DC1">
            <w:pPr>
              <w:spacing w:before="240" w:after="240"/>
              <w:jc w:val="left"/>
              <w:rPr>
                <w:szCs w:val="24"/>
              </w:rPr>
            </w:pPr>
            <w:r>
              <w:rPr>
                <w:szCs w:val="24"/>
              </w:rPr>
              <w:t>Въз основа на сключени договори към 31 декември 2016 г. по подмерки 19.1, 19. 2 и 19.4 е отчетен напредък по отношение на изпълнението на Фокус област 6Б в размер на 65 574 803 евро, което представлява приблизително 50 % от планираните разходи в рамките на мярка 19 по фокус областта. Към края на 2016 г. са изплатени и 232 153 евро по приключен проект по подмярка 19.1.</w:t>
            </w:r>
          </w:p>
          <w:p w:rsidR="00A1205A" w:rsidRDefault="009E0DC1">
            <w:pPr>
              <w:spacing w:before="240" w:after="240"/>
              <w:jc w:val="left"/>
              <w:rPr>
                <w:szCs w:val="24"/>
              </w:rPr>
            </w:pPr>
            <w:r>
              <w:rPr>
                <w:szCs w:val="24"/>
              </w:rPr>
              <w:t>В заключение, през 2016 г. е отбелязан съществен напредък по отношение на подпомагането на местното развитие в селските райони. Този напредък е свързан с успешно проведените приеми по подмярка 7.2 „Инвестиции в създаването, подобряването или разширяването на всички видове малка по мащаби инфраструктура“ и 7.6 „Проучвания и инвестиции, свързани с поддържане, възстановяване и  на културното и природното наследство на селата“, позволяващи навременната обработка, договориране и изпълнението на подадените проекти предвид на необходимото време за тяхното изпълнение.</w:t>
            </w:r>
          </w:p>
          <w:p w:rsidR="00A1205A" w:rsidRDefault="00A1205A">
            <w:pPr>
              <w:pStyle w:val="BodyText"/>
            </w:pPr>
          </w:p>
        </w:tc>
      </w:tr>
    </w:tbl>
    <w:p w:rsidR="00A1205A" w:rsidRDefault="009E0DC1">
      <w:pPr>
        <w:pStyle w:val="Heading3"/>
        <w:jc w:val="left"/>
      </w:pPr>
      <w:bookmarkStart w:id="112" w:name="_Toc256000111"/>
      <w:r>
        <w:t>Заключения и препоръки</w:t>
      </w:r>
      <w:bookmarkEnd w:id="112"/>
    </w:p>
    <w:p w:rsidR="00A1205A" w:rsidRDefault="009E0DC1">
      <w:pPr>
        <w:pStyle w:val="Heading2"/>
      </w:pPr>
      <w:bookmarkStart w:id="113" w:name="_Toc256000112"/>
      <w:r>
        <w:t>CEQ19-PE - В каква степен полезните взаимодействия между приоритетите и областите с поставен акцент са повишили ефективността на ПРСР?</w:t>
      </w:r>
      <w:bookmarkEnd w:id="113"/>
    </w:p>
    <w:p w:rsidR="00A1205A" w:rsidRDefault="009E0DC1">
      <w:pPr>
        <w:pStyle w:val="Heading3"/>
        <w:jc w:val="left"/>
      </w:pPr>
      <w:r>
        <w:br w:type="page"/>
      </w:r>
      <w:bookmarkStart w:id="114" w:name="_Toc256000113"/>
      <w:r>
        <w:t>Синергии и ефект на всеобхватност в програмата</w:t>
      </w:r>
      <w:bookmarkEnd w:id="114"/>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15" w:name="_Toc256000114"/>
      <w:r>
        <w:t>Прилагани методи</w:t>
      </w:r>
      <w:bookmarkEnd w:id="115"/>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16" w:name="_Toc256000115"/>
      <w:r>
        <w:t>Количествени констатации въз основа на изчислението на вторичния принос на операциите към акцентираните области</w:t>
      </w:r>
      <w:bookmarkEnd w:id="116"/>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17" w:name="_Toc256000116"/>
      <w:r>
        <w:t>Идентифицирани проблеми, които влияят върху действителността и надеждността на констатациите от оценката</w:t>
      </w:r>
      <w:bookmarkEnd w:id="117"/>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  </w:t>
            </w:r>
          </w:p>
          <w:p w:rsidR="00A1205A" w:rsidRDefault="00A1205A">
            <w:pPr>
              <w:pStyle w:val="BodyText"/>
            </w:pPr>
          </w:p>
        </w:tc>
      </w:tr>
    </w:tbl>
    <w:p w:rsidR="00A1205A" w:rsidRDefault="009E0DC1">
      <w:pPr>
        <w:pStyle w:val="Heading3"/>
        <w:jc w:val="left"/>
      </w:pPr>
      <w:bookmarkStart w:id="118" w:name="_Toc256000117"/>
      <w:r>
        <w:t>Отговор на въпрос за оценка</w:t>
      </w:r>
      <w:bookmarkEnd w:id="118"/>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Програмирането на мерки в рамките на отделните приоритети и области на въздействие за развитие на селските райони оказва съществено въздействие по отношение на ефективността на прилагане на Програмата. Към 31 декември 2016 г. са изминали 19 месеца от официалното одобрение на прилагането на Програмата. Този времеви период обхваща провеждането на приеми по най-популярните и атрактивни мерки/подмерки, включени в Програмата.</w:t>
            </w:r>
          </w:p>
          <w:p w:rsidR="00A1205A" w:rsidRDefault="009E0DC1">
            <w:pPr>
              <w:spacing w:before="240" w:after="240"/>
              <w:jc w:val="left"/>
              <w:rPr>
                <w:szCs w:val="24"/>
              </w:rPr>
            </w:pPr>
            <w:r>
              <w:rPr>
                <w:szCs w:val="24"/>
              </w:rPr>
              <w:t>Въз основа на проявения интерес от страна на кандидатите и проекти с получено окончателно плащане може да се предвиди по какъв начин взаимодействията между приоритетите и областите с поставен акцент ще окажат ефект по отношение на прилагането на ПРСР.</w:t>
            </w:r>
          </w:p>
          <w:p w:rsidR="00A1205A" w:rsidRDefault="009E0DC1">
            <w:pPr>
              <w:spacing w:before="240" w:after="240"/>
              <w:jc w:val="left"/>
              <w:rPr>
                <w:szCs w:val="24"/>
              </w:rPr>
            </w:pPr>
            <w:r>
              <w:rPr>
                <w:szCs w:val="24"/>
              </w:rPr>
              <w:t>Настоящият анализ на ефекта от насочването на помощта чрез отделните приоритети и области на въздействие в ПРСР, обхваща реализирани разходи в периода 2015 – 2016 г., в рамките на който е изплатена финансова помощ по поети ангажименти по мярка 10 „Агроекология и климат“, мярка 11 „Биологично земеделие“, мярка 12 „Плащания по Натура 2000 и рамкова директива за водите“ и мярка 13 „Плащания за райони, изправени пред природни и други специфични ограничения“, както и по приключени 167 проекта по подмярка 4.1 „Инвестиции в земеделски стопанства“.</w:t>
            </w:r>
          </w:p>
          <w:p w:rsidR="00A1205A" w:rsidRDefault="009E0DC1">
            <w:pPr>
              <w:spacing w:before="240" w:after="240"/>
              <w:jc w:val="left"/>
              <w:rPr>
                <w:szCs w:val="24"/>
              </w:rPr>
            </w:pPr>
            <w:r>
              <w:rPr>
                <w:szCs w:val="24"/>
              </w:rPr>
              <w:t>Приносът на мерките от ПРСР към отделните приоритети и области на въздействие се постига най-вече чрез разработване на адекватни условия за допустимост и подходящи критерии за подбор на проекти както и провеждането на целеви приеми на заявления за подпомагане, в съответствие с предвидената възможност в ПРСР. По този начин, чрез подпомогнатите инвестиции и дейности в рамките на отделните мерки и подмерки се очаква Програмата да окаже въздействие по отношение на идентифицираните нужди, включително да бъдат постигнати съответните индикатори и целеви показатели.</w:t>
            </w:r>
          </w:p>
          <w:p w:rsidR="00A1205A" w:rsidRDefault="009E0DC1">
            <w:pPr>
              <w:spacing w:before="240" w:after="240"/>
              <w:jc w:val="left"/>
              <w:rPr>
                <w:szCs w:val="24"/>
              </w:rPr>
            </w:pPr>
            <w:r>
              <w:rPr>
                <w:szCs w:val="24"/>
              </w:rPr>
              <w:t>Таблица „Полезни взаимодействия и негативни ефекти между приоритети и фокус области“, приложена по-долу отразява ефектът по отношение на изплатената финансова помощ в рамките на отделните приоритети и области на въздействие, адресирани в ПРСР.</w:t>
            </w:r>
          </w:p>
          <w:p w:rsidR="00A1205A" w:rsidRDefault="009E0DC1">
            <w:pPr>
              <w:spacing w:before="240" w:after="240"/>
              <w:jc w:val="left"/>
              <w:rPr>
                <w:szCs w:val="24"/>
              </w:rPr>
            </w:pPr>
            <w:r>
              <w:rPr>
                <w:szCs w:val="24"/>
              </w:rPr>
              <w:t>Полезните взаймодействия са индикирани в зелено, до като негативните наблюдавани ефекти са отбелязани в червен цвят. Поетите ангажименти и оторизираните плащания в рамките на компенсаторните мерки от Програмата са в пълно съответствие с предвидения основен и допълнителен принос съгласно Раздел 11.2 „Преглед на планираното изпълнение и на планираните разходи по мерки и по области с поставен акцент“ от план на показателите.</w:t>
            </w:r>
          </w:p>
          <w:p w:rsidR="00A1205A" w:rsidRDefault="009E0DC1">
            <w:pPr>
              <w:spacing w:before="240" w:after="240"/>
              <w:jc w:val="left"/>
              <w:rPr>
                <w:szCs w:val="24"/>
              </w:rPr>
            </w:pPr>
            <w:r>
              <w:rPr>
                <w:szCs w:val="24"/>
              </w:rPr>
              <w:t>Едновременният ефект от прилагане на мерките по отношение на приноса към отделните области на въздействие се потвърждава от постигнатия напредък по изпълнение на резултатните показатели към края на 2016 г.</w:t>
            </w:r>
          </w:p>
          <w:p w:rsidR="00A1205A" w:rsidRDefault="009E0DC1">
            <w:pPr>
              <w:spacing w:before="240" w:after="240"/>
              <w:jc w:val="left"/>
              <w:rPr>
                <w:szCs w:val="24"/>
              </w:rPr>
            </w:pPr>
            <w:r>
              <w:rPr>
                <w:szCs w:val="24"/>
              </w:rPr>
              <w:t>Въз основа на приключените проекти по подмярка 4.1 „Инвестиции в земеделски стопанства“ се наблюдават някои отклонения спрямо интервенционната логика, програмирана в ПРСР. Изпълнението показва, че към 31 декември 2016 г. са реализирани 37 проекта в обхвата на фокус област 2Б или 22 % от общия брой на приключените проекти. Този процент дава основание да се счита, че е на лице синергичен ефект по отношение на фокус област 2А, като основна фокус област в рамките на която е програмирана подмярка 4.1 и типа на инвестиции отнасяни към нея и фокус област 2Б, насочена към улесняване на навлизането на земеделски стопани с подходяща квалификация в селскостопанския сектор, и по-специално приемствеността между поколенията.</w:t>
            </w:r>
          </w:p>
          <w:p w:rsidR="00A1205A" w:rsidRDefault="009E0DC1">
            <w:pPr>
              <w:spacing w:before="240" w:after="240"/>
              <w:jc w:val="left"/>
              <w:rPr>
                <w:szCs w:val="24"/>
              </w:rPr>
            </w:pPr>
            <w:r>
              <w:rPr>
                <w:szCs w:val="24"/>
              </w:rPr>
              <w:t>Следва да се отбележи, че подмярка 4.1 се очаква да окаже съществен ефект по отношение на  изпълнението на фокус област 6А „Улесняване на диверсификацията на икономиката и разкриването на работни места в селските райони“, въпреки, че такъв принос не е предвиден при първоначалното плнаиране на подмярката.</w:t>
            </w:r>
          </w:p>
          <w:p w:rsidR="00A1205A" w:rsidRDefault="009E0DC1">
            <w:pPr>
              <w:spacing w:before="240" w:after="240"/>
              <w:jc w:val="left"/>
              <w:rPr>
                <w:szCs w:val="24"/>
              </w:rPr>
            </w:pPr>
            <w:r>
              <w:rPr>
                <w:szCs w:val="24"/>
              </w:rPr>
              <w:t>Данните по отношение на сключените договори към 31 декември 2016 г. показват, че 676 (88 % от сключените договори) от общо 764 договора за подпомагане предвиждат създаването на нови работни места. От друга страна 710 от съответните проекти (93 % от сключените договори) се изпълняват на територията на селските райони на страната. Този ефект на синергия между фокус област 2А и 6А  се дължи от една страна на реализираните инвестиции в рамките на подмярката и необходимостта от обезпечаване на увеличението на обема на производство с допълнителен персонал, но също така до голяма степен е продиктуван и от заложеният приоритет за създаване на заетост чрез интервенциите по подмярката. В тази връзка се очаква подмярката да окаже съществен принос по отношение на създаването на работни места на територията на селските райони.</w:t>
            </w:r>
          </w:p>
          <w:p w:rsidR="00A1205A" w:rsidRDefault="009E0DC1">
            <w:pPr>
              <w:spacing w:before="240" w:after="240"/>
              <w:jc w:val="left"/>
              <w:rPr>
                <w:szCs w:val="24"/>
              </w:rPr>
            </w:pPr>
            <w:r>
              <w:rPr>
                <w:szCs w:val="24"/>
              </w:rPr>
              <w:t>Наблюдава се също така ефект на полезно взаимодействие между фокус област 2А и  фокус област 5Б и въпреки малкия брой на финализирани проекти, свързани с инвестиции в повишаване на енергийната ефективност на ниво стопанство към 31 декевмри 2016 г.  се очаква чрез подмярката да бъде оказан съществен принос по отношение на  фокус област 5Б „Повишаване на ефективността при потреблението на енергия в селското стопанство и хранително-вкусовата промишленост“ въз основа на данните по отношение на поетите ангажименти от страна на ползвателите на финансова помощ.</w:t>
            </w:r>
          </w:p>
          <w:p w:rsidR="00A1205A" w:rsidRDefault="009E0DC1">
            <w:pPr>
              <w:spacing w:before="240" w:after="240"/>
              <w:jc w:val="left"/>
              <w:rPr>
                <w:szCs w:val="24"/>
              </w:rPr>
            </w:pPr>
            <w:r>
              <w:rPr>
                <w:szCs w:val="24"/>
              </w:rPr>
              <w:t>По отношение на фокус област 5В се наблюдава сравнително нисък размер на заявените инвестиционни разходи, което подлага под съмнение ефективността на прилагане на мярка 4 „Инвестиции в материални активи“ във връзка с планирания финансов ресурс  съгласно Раздел 11.2 „Преглед на планираното изпълнение и на планираните разходи по мерки и по области с поставен акцент“. Въпреки това е отбелязан ефект на полезно взаимодействие въз основа на комбиниране на инвестиции в производство на земеделски продукти с инвестиции в производство на енергия от ВЕИ за покриване на нуждите от енергия в рамките на стопанствата.</w:t>
            </w:r>
          </w:p>
          <w:p w:rsidR="00A1205A" w:rsidRDefault="009E0DC1">
            <w:pPr>
              <w:spacing w:before="240" w:after="240"/>
              <w:jc w:val="left"/>
              <w:rPr>
                <w:szCs w:val="24"/>
              </w:rPr>
            </w:pPr>
            <w:r>
              <w:rPr>
                <w:szCs w:val="24"/>
              </w:rPr>
              <w:t>Съответните инвестиционни проекти се реализират най-вече в рамките на оранжерийни земеделски стопанства, където е необходимо да бъдат предприети действия за оптимизация по отношение на разходите за енергия. Ниският интерес към инвестиции във ВЕИ вероятно е продиктуван от въведеното ограничение по отношение на възможността за продажба на произвежданата енергия извън рамките на земеделските стопанства.</w:t>
            </w:r>
          </w:p>
          <w:p w:rsidR="00A1205A" w:rsidRDefault="009E0DC1">
            <w:pPr>
              <w:spacing w:before="240" w:after="240"/>
              <w:jc w:val="left"/>
              <w:rPr>
                <w:szCs w:val="24"/>
              </w:rPr>
            </w:pPr>
            <w:r>
              <w:rPr>
                <w:szCs w:val="24"/>
              </w:rPr>
              <w:t>Разпределението на разходите в следствие на прилагането на подмярка 4.1 показва негативен ефект по отншение на приноса към приоритет 4 „Възстановяване, опазване и укрепване на екосистемите, свързани със селското и горското стопанство”, което налага анализиране на ситуацията във връзка с интервенционната логика, превидена по Програмата и заделения финансов ресурс по мярка 4 в обхвата на Приоритет 4 в размер на 158 157 453 евро. В Стратегията на ПРСР е записано, че в рамките на Приоритет 4 са избрани мерки, свързани с инвестиции в земеделски стопанства за прилагане на екологосъобразни практики или предотвратяване на замърсяването и за непроизводствени инвестиции в стопанствата, с бюджет 158,2 млн. евро. В стратегията също така е записано, че за опазването на биологичното разнообразие са необходими и специфични инвестиции, свързани с традиционните екстензивни земеделски практики (М 04).</w:t>
            </w:r>
          </w:p>
          <w:p w:rsidR="00A1205A" w:rsidRDefault="009E0DC1">
            <w:pPr>
              <w:spacing w:before="240" w:after="240"/>
              <w:jc w:val="left"/>
              <w:rPr>
                <w:szCs w:val="24"/>
              </w:rPr>
            </w:pPr>
            <w:r>
              <w:rPr>
                <w:szCs w:val="24"/>
              </w:rPr>
              <w:t>Към  31 декември 2016 г. е финализирана обработката на заявления за подпомагане, постъпили в рамките на първия период на прием, по който са определени приблизително  40 % от средствата по подмярка 4.1. Въпреки това съгласно данни от ДФ „Земеделие“ не е поет нито един ангажимент по мярка 4  в обхвата на  Приоритет 4, което  показва  несъответствие по отношение на интервенционната логика, заложена по ПРСР.</w:t>
            </w:r>
          </w:p>
          <w:p w:rsidR="00A1205A" w:rsidRDefault="009E0DC1">
            <w:pPr>
              <w:spacing w:before="240" w:after="240"/>
              <w:jc w:val="left"/>
              <w:rPr>
                <w:szCs w:val="24"/>
              </w:rPr>
            </w:pPr>
            <w:r>
              <w:rPr>
                <w:szCs w:val="24"/>
              </w:rPr>
              <w:t>В тази връзка е необходимо да се анализира до каква степен избраната мярка 4.4 „Инвестиции в непроизводствени дейности“ ще допринесе за реализацията на Приоритет 4. Също така следва да бъде установена причината поради която инвестициите, реализирани по подмярката от страна на земеделските стопанства не спомагат за постигането на ефект в рамките на областите с поставен акцент в обхвата на Приоритет 4. Следва да се установи дали е на лице пречка такъв тип проекти да бъдат финансирани, дали са стимулирани по адекватен начин посредством условията, заложени в подмярката, включително критериите за оценка на проекти.</w:t>
            </w:r>
          </w:p>
          <w:p w:rsidR="00A1205A" w:rsidRDefault="009E0DC1">
            <w:pPr>
              <w:spacing w:before="240" w:after="240"/>
              <w:jc w:val="left"/>
              <w:rPr>
                <w:szCs w:val="24"/>
              </w:rPr>
            </w:pPr>
            <w:r>
              <w:rPr>
                <w:szCs w:val="24"/>
              </w:rPr>
              <w:t>Не на последно място, в случай, че не са подадени проектни предложения, свързани с инвестиции в земеделски стопанства за прилагане на екологосъобразни практики или предотвратяване на замърсяването във връзка с поставената цел в рамките на стратегията следва да се извършат действие с оглед бъде стимулиран интереса от страна на земеделските стопани. В противен случаи е необходимо да бъде преразгледана интервенционната логика на ПРСР.</w:t>
            </w:r>
          </w:p>
          <w:p w:rsidR="00A1205A" w:rsidRDefault="009E0DC1">
            <w:pPr>
              <w:spacing w:before="240" w:after="240"/>
              <w:jc w:val="left"/>
              <w:rPr>
                <w:szCs w:val="24"/>
              </w:rPr>
            </w:pPr>
            <w:r>
              <w:rPr>
                <w:szCs w:val="24"/>
              </w:rPr>
              <w:t>Идентичен проблем е индетифициран и в рамките на Област с поставен акцент 5Г, насочена към намаляване на емисиите на парникови газове и на амоняк от селското стопанство. На лице е слабо взаимодействие по отношение на инвестициите, реализирани от земеделските стопанства към намаляване на емисиите на парникови газове и на амоняк от селското стопанство. Към 31 декември 2016 г. не са финализирани проекти по съответната подмярка с принос в рамките на фокус областта. Поетите ангажименти възлизат на 768 229 евро, което показва изключително нисък относителен дял при планиран финансов ресурс в размер на 42 749 644 евро в рамките на фокус областта по мярка 4 „Инвестиции в материални активи“.</w:t>
            </w:r>
          </w:p>
          <w:p w:rsidR="00A1205A" w:rsidRDefault="009E0DC1">
            <w:pPr>
              <w:spacing w:before="240" w:after="240"/>
              <w:jc w:val="left"/>
              <w:rPr>
                <w:szCs w:val="24"/>
              </w:rPr>
            </w:pPr>
            <w:r>
              <w:rPr>
                <w:szCs w:val="24"/>
              </w:rPr>
              <w:t>В рамките на Стратегията на ПРСР е записано, че чрез мярка 4 ще се финансират изграждането/внедряването на обекти и активи в стопанствата за подобряване на екологичното състояние на използваните земеделски площи, с което ще се увеличи способността им да поглъщат атмосферен въглерод, и така да намаляват общото количество на емисиите на парникови газове, отделени от селското стопанство. От друга 40 % от подпомогнатите проекти са на животновъдни стопанства, които са едни от основните източници на амоняк в селското стопанство, наред с процеса по отглеждане на едногодишни култури. В общ план отрасъл „селското стопанство“ е най - големият източник, емитирайки над 80 % от националните емисии на амоняк. От друга страна емисиите на парникови газове, които се отделят от селското стопанство представляват над 10 % от  отделяните парникови газове в страната.</w:t>
            </w:r>
          </w:p>
          <w:p w:rsidR="00A1205A" w:rsidRDefault="009E0DC1">
            <w:pPr>
              <w:spacing w:before="240" w:after="240"/>
              <w:jc w:val="left"/>
              <w:rPr>
                <w:szCs w:val="24"/>
              </w:rPr>
            </w:pPr>
            <w:r>
              <w:rPr>
                <w:szCs w:val="24"/>
              </w:rPr>
              <w:t>В тази връзка е необходимо да бъде анализирана причината поради, която изпълнените инвестиции в рамките на подпомогнатите проекти не оказват съществено въздействие по отношение на намаляване на емисиите на парникови газове и на амоняк от селското стопанство във връзка с интервенционната логика на ПРСР.</w:t>
            </w:r>
          </w:p>
          <w:p w:rsidR="00A1205A" w:rsidRDefault="009E0DC1">
            <w:pPr>
              <w:spacing w:before="240" w:after="240"/>
              <w:jc w:val="left"/>
              <w:rPr>
                <w:szCs w:val="24"/>
              </w:rPr>
            </w:pPr>
            <w:r>
              <w:rPr>
                <w:szCs w:val="24"/>
              </w:rPr>
              <w:t>В заключение, насочването на помощта към отделните приоритети и области на въздействие, въз основа на финализираните проекти към края на втората година от прилагане на ПРСР,  допринася за постигането на по-голяма ефективност при прилагането на мерките.</w:t>
            </w:r>
          </w:p>
          <w:p w:rsidR="00A1205A" w:rsidRDefault="009E0DC1">
            <w:pPr>
              <w:spacing w:before="240" w:after="240"/>
              <w:jc w:val="left"/>
              <w:rPr>
                <w:szCs w:val="24"/>
              </w:rPr>
            </w:pPr>
            <w:r>
              <w:rPr>
                <w:szCs w:val="24"/>
              </w:rPr>
              <w:t>В подкрепа на това  твърдение следва да се посочи положителния ефект, очакван от прилагането на  компенсаторните мерки от ПРСР по отношение на влиянието им по Приоритет 4 и фокус област 5Г във връзка с подпомаганите практики и поетите ангажименти насочени към компонентите на околната среда. Също така  отчетения голям относителен брой на младите фермери с инвестиции в модернизиране на земеделските им стопанства и интереса към инвестиции в повишаване на енергийната ефективност на ниво стопанство се налага извода, че в рамките на ПРСР се насърчава подпомагането на проекти, допринасящи, едновременно за постигане на положителен ефект на взаимодействие в рамките на няколко области с поставен акцент.</w:t>
            </w:r>
          </w:p>
          <w:p w:rsidR="00A1205A" w:rsidRDefault="009E0DC1">
            <w:pPr>
              <w:spacing w:before="240" w:after="240"/>
              <w:jc w:val="left"/>
              <w:rPr>
                <w:szCs w:val="24"/>
              </w:rPr>
            </w:pPr>
            <w:r>
              <w:rPr>
                <w:szCs w:val="24"/>
              </w:rPr>
              <w:t>От друга страна се наблюдава липса на инвестионни разходи, свързани с опазване на околната среда, предвидени по програмата, което е в явно противоречие с интервенционната логика на ПРСР. Тези резултати създават необходимост от извършването на анализ и оценка на причините за липса на принос в тази област. На база на изводите от анализа и оценката, трябва да се предприемат корективни действия от страна на УО.</w:t>
            </w:r>
          </w:p>
          <w:p w:rsidR="00A1205A" w:rsidRDefault="009E0DC1">
            <w:pPr>
              <w:spacing w:before="240" w:after="240"/>
              <w:jc w:val="left"/>
              <w:rPr>
                <w:szCs w:val="24"/>
              </w:rPr>
            </w:pPr>
            <w:r>
              <w:rPr>
                <w:szCs w:val="24"/>
              </w:rPr>
              <w:t>Важно е да се отбележи, както е посочено и по – горе, че взаимовръзката между приоритети и фокус области към края на 2016 г. се прави на база незначителен брой завършени проекти, особено за мярка 4 /подмерки 4.1 и 4.2/, която е ключова за прилагането на ПРСР. В по – голямата си част постиганият напредък по прилагане на мерките свързани с инвестиции е представен на база сключени договори, по които предстоят финални плащания през 2017 г. и 2018 г. и които очертават бъдещи тенденции. Препоръките, насочени към извършване на анализи и оценки за взаимодействието и евентуални негативни ефекти между приоритети и фокус области трябва да се извършат при наличието на по – висок относителен дял на завършени проекти по съответните мерки, особено в случаите, при които от междинните данни не могат да бъдат направени адекватни изводи</w:t>
            </w:r>
          </w:p>
          <w:p w:rsidR="00A1205A" w:rsidRDefault="00A1205A">
            <w:pPr>
              <w:pStyle w:val="BodyText"/>
            </w:pPr>
          </w:p>
          <w:p w:rsidR="00A1205A" w:rsidRDefault="008F1982">
            <w:pPr>
              <w:pStyle w:val="BodyText3"/>
              <w:jc w:val="left"/>
            </w:pPr>
            <w:r>
              <w:rPr>
                <w:noProof/>
                <w:lang w:val="en-US"/>
              </w:rPr>
              <w:pict>
                <v:shape id="Picture 100025" o:spid="_x0000_i1047" type="#_x0000_t75" style="width:522pt;height:260.25pt;visibility:visible;mso-wrap-style:square">
                  <v:imagedata r:id="rId36" o:title=""/>
                </v:shape>
              </w:pict>
            </w:r>
          </w:p>
          <w:p w:rsidR="00A1205A" w:rsidRDefault="009E0DC1">
            <w:pPr>
              <w:pStyle w:val="Footer"/>
              <w:jc w:val="center"/>
            </w:pPr>
            <w:r>
              <w:t>Таблица</w:t>
            </w:r>
          </w:p>
          <w:p w:rsidR="00A1205A" w:rsidRDefault="00A1205A">
            <w:pPr>
              <w:pStyle w:val="Footer"/>
              <w:jc w:val="center"/>
            </w:pPr>
          </w:p>
        </w:tc>
      </w:tr>
    </w:tbl>
    <w:p w:rsidR="00A1205A" w:rsidRDefault="009E0DC1">
      <w:pPr>
        <w:pStyle w:val="Heading3"/>
        <w:jc w:val="left"/>
      </w:pPr>
      <w:bookmarkStart w:id="119" w:name="_Toc256000118"/>
      <w:r>
        <w:t>Заключения и препоръки</w:t>
      </w:r>
      <w:bookmarkEnd w:id="119"/>
    </w:p>
    <w:p w:rsidR="00A1205A" w:rsidRDefault="009E0DC1">
      <w:pPr>
        <w:pStyle w:val="Heading2"/>
      </w:pPr>
      <w:bookmarkStart w:id="120" w:name="_Toc256000119"/>
      <w:r>
        <w:t>CEQ21-RN - До каква степен националната мрежа за селските райони допринесла за постигането на целите, определени в член 54, параграф 2 от Регламент (ЕС) № 1305/2013?</w:t>
      </w:r>
      <w:bookmarkEnd w:id="120"/>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През 2016 г. няма избран изпълнител за управление на Нациналната селска мрежа и не са извършвани дейности в нейният обхват.</w:t>
            </w:r>
          </w:p>
        </w:tc>
      </w:tr>
    </w:tbl>
    <w:p w:rsidR="00A1205A" w:rsidRDefault="009E0DC1">
      <w:pPr>
        <w:pStyle w:val="Heading2"/>
      </w:pPr>
      <w:bookmarkStart w:id="121" w:name="_Toc256000120"/>
      <w:r>
        <w:t>PSEQ01-FA - Специфичен за програмата въпрос за оценка, свързан със специфична за програмата акцентирана област</w:t>
      </w:r>
      <w:bookmarkEnd w:id="121"/>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Неприложимо</w:t>
            </w:r>
          </w:p>
        </w:tc>
      </w:tr>
    </w:tbl>
    <w:p w:rsidR="00A1205A" w:rsidRDefault="009E0DC1">
      <w:pPr>
        <w:pStyle w:val="Heading2"/>
      </w:pPr>
      <w:bookmarkStart w:id="122" w:name="_Toc256000121"/>
      <w:r>
        <w:t>PSEQ01-TOPIC - Специфичен за програмата въпрос за оценка, свързан със специфична за програмата тема на оценка</w:t>
      </w:r>
      <w:bookmarkEnd w:id="122"/>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Неприложимо</w:t>
            </w:r>
          </w:p>
        </w:tc>
      </w:tr>
    </w:tbl>
    <w:p w:rsidR="00A1205A" w:rsidRDefault="009E0DC1">
      <w:pPr>
        <w:pStyle w:val="Heading2"/>
      </w:pPr>
      <w:bookmarkStart w:id="123" w:name="_Toc256000122"/>
      <w:r>
        <w:t>PSEQ02-TOPIC - Специфичен за програмата въпрос за оценка, свързан със специфична за програмата тема на оценка</w:t>
      </w:r>
      <w:bookmarkEnd w:id="123"/>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Неприложимо</w:t>
            </w:r>
          </w:p>
        </w:tc>
      </w:tr>
    </w:tbl>
    <w:p w:rsidR="00A1205A" w:rsidRDefault="009E0DC1">
      <w:pPr>
        <w:pStyle w:val="Heading2"/>
      </w:pPr>
      <w:bookmarkStart w:id="124" w:name="_Toc256000123"/>
      <w:r>
        <w:t>PSEQ03-TOPIC - Специфичен за програмата въпрос за оценка, свързан със специфична за програмата тема на оценка</w:t>
      </w:r>
      <w:bookmarkEnd w:id="124"/>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Неприложимо</w:t>
            </w:r>
          </w:p>
        </w:tc>
      </w:tr>
    </w:tbl>
    <w:p w:rsidR="00A1205A" w:rsidRDefault="009E0DC1">
      <w:pPr>
        <w:pStyle w:val="Heading2"/>
      </w:pPr>
      <w:bookmarkStart w:id="125" w:name="_Toc256000124"/>
      <w:r>
        <w:t>PSEQ04-TOPIC - Специфичен за програмата въпрос за оценка, свързан със специфична за програмата тема на оценка</w:t>
      </w:r>
      <w:bookmarkEnd w:id="125"/>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Неприложимо</w:t>
            </w:r>
          </w:p>
        </w:tc>
      </w:tr>
    </w:tbl>
    <w:p w:rsidR="00A1205A" w:rsidRDefault="009E0DC1">
      <w:pPr>
        <w:pStyle w:val="Heading2"/>
      </w:pPr>
      <w:bookmarkStart w:id="126" w:name="_Toc256000125"/>
      <w:r>
        <w:t>PSEQ05-TOPIC - Специфичен за програмата въпрос за оценка, свързан със специфична за програмата тема на оценка</w:t>
      </w:r>
      <w:bookmarkEnd w:id="126"/>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Неприложимо</w:t>
            </w:r>
          </w:p>
        </w:tc>
      </w:tr>
    </w:tbl>
    <w:p w:rsidR="00A1205A" w:rsidRDefault="009E0DC1">
      <w:pPr>
        <w:pStyle w:val="Heading2"/>
      </w:pPr>
      <w:bookmarkStart w:id="127" w:name="_Toc256000126"/>
      <w:r>
        <w:t>CEQ01-1A - До каква степен интервенциите по ПРСР са подпомогнали иновациите, сътрудничеството и развитието на базата знания в селските райони?</w:t>
      </w:r>
      <w:bookmarkEnd w:id="127"/>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фокус област 1А не са стартирани към 31 декември 2016 г. поради което не е реализиран напредък по отношение на стимулирането на иновациите, сътрудничеството и на развитието на базата от знания в селските район</w:t>
            </w:r>
          </w:p>
        </w:tc>
      </w:tr>
    </w:tbl>
    <w:p w:rsidR="00A1205A" w:rsidRDefault="009E0DC1">
      <w:pPr>
        <w:pStyle w:val="Heading2"/>
      </w:pPr>
      <w:bookmarkStart w:id="128" w:name="_Toc256000127"/>
      <w:r>
        <w:t>CEQ02-1B - До каква степен интервенциите по ПРСР са засилили връзките между селското стопанство, производството на храни, горското стопанство и научноизследователската дейност и иновациите, включително с цел подобряване на екологичното управление и екологичните показатели?</w:t>
      </w:r>
      <w:bookmarkEnd w:id="128"/>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фокус област 1Б не са стартирани към 31 декември 2016 г. поради което не е реализиран напредък по отношение засилване на връзките между селското стопанство, производството на храни, горското стопанство и научн</w:t>
            </w:r>
          </w:p>
        </w:tc>
      </w:tr>
    </w:tbl>
    <w:p w:rsidR="00A1205A" w:rsidRDefault="009E0DC1">
      <w:pPr>
        <w:pStyle w:val="Heading2"/>
      </w:pPr>
      <w:bookmarkStart w:id="129" w:name="_Toc256000128"/>
      <w:r>
        <w:t>CEQ03-1C - До каква степен интервенциите по ПРСР са подпомогнали ученето през целия живот и професионалното обучение в секторите на селското и горското стопанство?</w:t>
      </w:r>
      <w:bookmarkEnd w:id="129"/>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Фокус област 1В не са стартирани към 31 декември 2016 г. поради което не е реализиран напредък по отношение подпомагането на ученето през целия живот и професионалното обучение в секторите на селското и горско</w:t>
            </w:r>
          </w:p>
        </w:tc>
      </w:tr>
    </w:tbl>
    <w:p w:rsidR="00A1205A" w:rsidRDefault="009E0DC1">
      <w:pPr>
        <w:pStyle w:val="Heading2"/>
      </w:pPr>
      <w:bookmarkStart w:id="130" w:name="_Toc256000129"/>
      <w:r>
        <w:t>CEQ07-3B - До каква степен интервенциите по ПРСР са подпомогнали превенцията и управлението на риска на стопанствата?</w:t>
      </w:r>
      <w:bookmarkEnd w:id="130"/>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 xml:space="preserve">Избраните мерки, насочени към изпълнението на фокус област 3Б не са стартирани към 31 декември 2016 г. поради което не е реализиран напредък по отношение на подпомагане на превенцията и управлението на риска на стопанствата.  </w:t>
            </w:r>
          </w:p>
        </w:tc>
      </w:tr>
    </w:tbl>
    <w:p w:rsidR="00A1205A" w:rsidRDefault="009E0DC1">
      <w:pPr>
        <w:pStyle w:val="Heading2"/>
      </w:pPr>
      <w:bookmarkStart w:id="131" w:name="_Toc256000130"/>
      <w:r>
        <w:t>CEQ15-5E - До каква степен интервенциите по ПРСР са подпомогнали съхраняването и поглъщането на въглерода в секторите на селското и горското стопанство?</w:t>
      </w:r>
      <w:bookmarkEnd w:id="131"/>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фокус област 5Д не са стартирани към 31 декември 2016 г. поради което не е реализиран напредък по отношение на съхраняването и поглъщането на въглерода в секторите на селското и горското стопанство.</w:t>
            </w:r>
          </w:p>
        </w:tc>
      </w:tr>
    </w:tbl>
    <w:p w:rsidR="00A1205A" w:rsidRDefault="009E0DC1">
      <w:pPr>
        <w:pStyle w:val="Heading2"/>
      </w:pPr>
      <w:bookmarkStart w:id="132" w:name="_Toc256000131"/>
      <w:r>
        <w:t>CEQ16-6A - До каква степен интервенциите по ПРСР са подпомогнали диверсификацията, създаването и развитието на малки предприятия и създаване на работни места?</w:t>
      </w:r>
      <w:bookmarkEnd w:id="132"/>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подмярка 6.2 „Стартова помощ за неземеделски дейности“ и подмярка 6.4 „Инвестиции в подкрепа за неземеделски дейности“, насочени към изпълнението на фокус област 6А не са стартирани към 31 декември 2016 г. поради което не е реализиран напредък п</w:t>
            </w:r>
          </w:p>
        </w:tc>
      </w:tr>
    </w:tbl>
    <w:p w:rsidR="00A1205A" w:rsidRDefault="009E0DC1">
      <w:pPr>
        <w:pStyle w:val="Heading2"/>
      </w:pPr>
      <w:bookmarkStart w:id="133" w:name="_Toc256000132"/>
      <w:r>
        <w:t>CEQ18-6C - До каква степен интервенциите по ПРСР са подобрили достъпа, използването и качеството на информационни и комуникационни технологии (ИКТ) в селските райони?</w:t>
      </w:r>
      <w:bookmarkEnd w:id="133"/>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Разработената подмярка 7.3  насочена към изпълнението на фокус област 6В, одобрена в рамките на второ изменение на ПРСР не е стартирана към 31 декември 2016 г. поради което не е реализиран напредък</w:t>
            </w:r>
          </w:p>
        </w:tc>
      </w:tr>
    </w:tbl>
    <w:p w:rsidR="00A1205A" w:rsidRDefault="009E0DC1">
      <w:pPr>
        <w:pStyle w:val="Heading2"/>
      </w:pPr>
      <w:bookmarkStart w:id="134" w:name="_Toc256000133"/>
      <w:r>
        <w:t>CEQ20-TA - До каква степен техническата помощ е допринесла за постигането на целите, определени в член 59, параграф 1 от Регламент (ЕС) № 1303/2013 и в член 51, параграф 2 от Регламент (ЕС) № 1305/2013?</w:t>
      </w:r>
      <w:bookmarkEnd w:id="134"/>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Към края на 2016 г. по мярката са постъпили 97 заявления с обща стойност 15,7 млн. евро. Сключени са 74 договора с общ размер на разходите от 10,9 млн. евро, по които е изплатена финансова помощ в размер на 4,22 млн. евро.</w:t>
            </w:r>
          </w:p>
        </w:tc>
      </w:tr>
    </w:tbl>
    <w:p w:rsidR="00A1205A" w:rsidRDefault="009E0DC1">
      <w:pPr>
        <w:pStyle w:val="Heading2"/>
      </w:pPr>
      <w:bookmarkStart w:id="135" w:name="_Toc256000134"/>
      <w:r>
        <w:t>PSEQ02-FA - Специфичен за програмата въпрос за оценка, свързан със специфична за програмата акцентирана област</w:t>
      </w:r>
      <w:bookmarkEnd w:id="135"/>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тази фокус област не са стартирани към 31 декември 2016 г. поради което не е реализиран напредък</w:t>
            </w:r>
          </w:p>
        </w:tc>
      </w:tr>
    </w:tbl>
    <w:p w:rsidR="00A1205A" w:rsidRDefault="009E0DC1">
      <w:pPr>
        <w:pStyle w:val="Heading2"/>
      </w:pPr>
      <w:bookmarkStart w:id="136" w:name="_Toc256000135"/>
      <w:r>
        <w:t>PSEQ03-FA - Специфичен за програмата въпрос за оценка, свързан със специфична за програмата акцентирана област</w:t>
      </w:r>
      <w:bookmarkEnd w:id="136"/>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тази фокус област не са стартирани към 31 декември 2016 г. поради което не е реализиран напредък</w:t>
            </w:r>
          </w:p>
        </w:tc>
      </w:tr>
    </w:tbl>
    <w:p w:rsidR="00A1205A" w:rsidRDefault="009E0DC1">
      <w:pPr>
        <w:pStyle w:val="Heading2"/>
      </w:pPr>
      <w:bookmarkStart w:id="137" w:name="_Toc256000136"/>
      <w:r>
        <w:t>PSEQ04-FA - Специфичен за програмата въпрос за оценка, свързан със специфична за програмата акцентирана област</w:t>
      </w:r>
      <w:bookmarkEnd w:id="137"/>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тази фокус област не са стартирани към 31 декември 2016 г. поради което не е реализиран напредък</w:t>
            </w:r>
          </w:p>
        </w:tc>
      </w:tr>
    </w:tbl>
    <w:p w:rsidR="00A1205A" w:rsidRDefault="009E0DC1">
      <w:pPr>
        <w:pStyle w:val="Heading2"/>
      </w:pPr>
      <w:bookmarkStart w:id="138" w:name="_Toc256000137"/>
      <w:r>
        <w:t>PSEQ05-FA - Специфичен за програмата въпрос за оценка, свързан със специфична за програмата акцентирана област</w:t>
      </w:r>
      <w:bookmarkEnd w:id="138"/>
    </w:p>
    <w:p w:rsidR="00A1205A" w:rsidRDefault="009E0DC1">
      <w:r>
        <w:t>Този въпрос е отбелязан като въпрос без значение за тази версия на годишния доклад за изпълнението</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r>
              <w:t>Избраните мерки, насочени към изпълнението на тази фокус област не са стартирани към 31 декември 2016 г. поради което не е реализиран напредък</w:t>
            </w:r>
          </w:p>
        </w:tc>
      </w:tr>
    </w:tbl>
    <w:p w:rsidR="00A1205A" w:rsidRDefault="00A1205A">
      <w:pPr>
        <w:sectPr w:rsidR="00A1205A">
          <w:pgSz w:w="12240" w:h="15840"/>
          <w:pgMar w:top="900" w:right="900" w:bottom="900" w:left="900" w:header="720" w:footer="720" w:gutter="0"/>
          <w:cols w:space="720"/>
        </w:sectPr>
      </w:pPr>
    </w:p>
    <w:p w:rsidR="00A1205A" w:rsidRDefault="009E0DC1">
      <w:pPr>
        <w:pStyle w:val="Heading1"/>
      </w:pPr>
      <w:r>
        <w:t xml:space="preserve"> </w:t>
      </w:r>
      <w:bookmarkStart w:id="139" w:name="_Toc256000138"/>
      <w:r>
        <w:t>Изпълнение на дейности с цел отчитане на принципите, определени в членове 5, 7 и 8 от Регламент (ЕС) № 1303/2013</w:t>
      </w:r>
      <w:bookmarkEnd w:id="139"/>
    </w:p>
    <w:p w:rsidR="00A1205A" w:rsidRDefault="009E0DC1">
      <w:pPr>
        <w:pStyle w:val="Heading2"/>
      </w:pPr>
      <w:bookmarkStart w:id="140" w:name="_Toc256000139"/>
      <w:r>
        <w:t>Насърчаване на равенството между мъжете и жените и премахването на дискриминацията (член 7 от Регламент (ЕС) № 1303/2013)</w:t>
      </w:r>
      <w:bookmarkEnd w:id="140"/>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В Програма за развитие на селските райони 2014-2020 г. са залегнали и ще бъдат съблюдавани хоризонталните принципи на равенство на половете и недискриминация. Нормативната уредба по всички мерки и схеми за подпомагане, стартирали през 2015 и 2016 г. е разработена по начин, който да гарантира спазването на съответните принципи.</w:t>
            </w:r>
          </w:p>
          <w:p w:rsidR="00A1205A" w:rsidRDefault="009E0DC1">
            <w:pPr>
              <w:spacing w:before="240" w:after="240"/>
              <w:jc w:val="left"/>
              <w:rPr>
                <w:szCs w:val="24"/>
              </w:rPr>
            </w:pPr>
            <w:r>
              <w:rPr>
                <w:szCs w:val="24"/>
              </w:rPr>
              <w:t>Процедурата на разработване и съгасуване със заинтересованите страни на правилата за прилагане на отделните мерки, въвлича всички икономическите и социални партньори, представени в Комитета по наблюдение, включително Търговско-промишлена палата, представители на гражданското общество, природозащитни организации, неправителствени организации в сферата на равенството между половете и защита срещу дискриминацията, равенството между етносите, както и представляващи ромските общности и защитаващи правата на хората с увреждания. Също така, повечето от организациите в КН имат широка членска маса и представляват други организации в тяхната сфера на действие. Използвайки мрежата от свои членовe, те служат също така за информационен канал, по който ще се разпространява информацията. Това от своя страна гарантира, че няма да бъде допуснато да се нарушават съответните принципи в хода по прилагането и отчитането на изпълнението на отделните проекти. Всички мерки за подпомагане от ПРСР 2014-2020 г., по които са проведени приеми през 2016 г. са съобразени със съответните принципи както по отношение на условията за допустимост, така и по отношение на критериите за подбор и тяхната тежест, одобрени в рамките на КН на ПРСР.</w:t>
            </w:r>
          </w:p>
          <w:p w:rsidR="00A1205A" w:rsidRDefault="009E0DC1">
            <w:pPr>
              <w:spacing w:before="240" w:after="240"/>
              <w:jc w:val="left"/>
              <w:rPr>
                <w:szCs w:val="24"/>
              </w:rPr>
            </w:pPr>
            <w:r>
              <w:rPr>
                <w:szCs w:val="24"/>
              </w:rPr>
              <w:t>В рамките на подмярка 19.2 „Прилагане на операции в рамките на стратегии за водено от общностите местно развитие" на мярка 19 "Водено от общностите местно развитие" като част от изискванията към Стратегиите за ВОМР е предвидено част, в която се описва по какъв начин ще бъдат спазени принципите за равенство между половете и липса на дискриминация с цел да се гарантира, че в рамките на одобрените Стратегии ще бъдат създадени условия за превенция от дискриминация.</w:t>
            </w:r>
          </w:p>
          <w:p w:rsidR="00A1205A" w:rsidRDefault="009E0DC1">
            <w:pPr>
              <w:spacing w:before="240" w:after="240"/>
              <w:jc w:val="left"/>
              <w:rPr>
                <w:szCs w:val="24"/>
              </w:rPr>
            </w:pPr>
            <w:r>
              <w:rPr>
                <w:szCs w:val="24"/>
              </w:rPr>
              <w:t>В допълнение, в рамките на ВОМР през 2016 г. са одобрени стратегии на МИГ, които са осигурили условия за достъп на хора с увреждания до възможностите, които предоставят инструментите за подпомагане на местното  развитие. Също така прилаганите стратегии за местно развитие адресират уязвимите групи в рамките на обхванатите територии, в т.ч. предвиждат действия за интегриране на малцинствените маргинализирани групи на териториите.</w:t>
            </w:r>
          </w:p>
          <w:p w:rsidR="00A1205A" w:rsidRDefault="00A1205A">
            <w:pPr>
              <w:pStyle w:val="BodyText"/>
            </w:pPr>
          </w:p>
        </w:tc>
      </w:tr>
    </w:tbl>
    <w:p w:rsidR="00A1205A" w:rsidRDefault="009E0DC1">
      <w:pPr>
        <w:pStyle w:val="Heading2"/>
      </w:pPr>
      <w:bookmarkStart w:id="141" w:name="_Toc256000140"/>
      <w:r>
        <w:t>Устойчиво развитие (член 8 от Регламент (ЕС) № 1303/2013)</w:t>
      </w:r>
      <w:bookmarkEnd w:id="141"/>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Опазването на околната среда като хоризонтална цел е засегнато във всички инструменти за подпомагане, включени в Програмата. В съответствие с принципите заложени в Споразумението за партньорство, интегрирането на политиките в областта на околната среда и изменението на климата се координира стратегически на национално ниво. Националните насоки определят областите на интеграция на политиките, групите критерии, които да бъдат прилагани при избора на мерки и проекти по всеки приоритет, а също количествени и качествени индикатори за мониторинг.</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В рамките на дискусиите по разработване на критериите за подбор по отделните мерки/подмерки и схеми, включени в ПРСР участие вземат неправителствени екологични организации в сферата на опазване на околната среда и Министерство на околната среда и водите, които съблюдават дали чрез мерките се постига интегрирането на политиката в областта на околната среда и изменението на климата.</w:t>
            </w:r>
          </w:p>
          <w:p w:rsidR="00A1205A" w:rsidRDefault="009E0DC1">
            <w:pPr>
              <w:spacing w:before="240" w:after="240"/>
              <w:jc w:val="left"/>
              <w:rPr>
                <w:szCs w:val="24"/>
              </w:rPr>
            </w:pPr>
            <w:r>
              <w:rPr>
                <w:szCs w:val="24"/>
              </w:rPr>
              <w:t>От друга страна, мерките по Приоритет 1 на ПРСР насърчават повишаването на знанията на земеделските стопани за прилагането на добри земеделски практики, водещи до опазването на биоразнообразието, почвите и водите.</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Планирани са също така мерки по всички приоритетни области на Приоритет 4, които допринасят за съхранение на биоразнообразието, устойчиво управление на водите и почвите. В рамките на агроекологичните цели основен приоритет са мерките за опазване на биологичното разнообразие в земеделските земи с висока природна стойност и зоните от Натура 2000. Земеделските производители са насърчавани да поддържат ландшафта и да извършват на земеделска дейност в необлагодетелстваните райони. Всички планирани мерки по Приоритет 4 имат също така и пряк принос към политиката за климата, като способстват за опазване на биоразнообразието, по-голяма ефективност при използване на водните ресурси и почвите. Насърчават се екстензивни земеделски практики в зависимост от природните, климатични и почвени условия, които да гарантират доброто състояние на пасищата и ливадите   и поддържането  на постоянна тревна покривка, което от своя страна допринася за съхраняване на запасите от въглерод в почвите. Що се касае за адаптирането към промените на климата програмата подкрепя отглеждането на местни породи и видове, които по-добре се приспособяват към настъпващите климатични промени. Стимулират се и иновации, свързани с приспособяването към климатичните промени.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По този начин през 2016 г. посредством поетите ангажименти по мерки 10, 11, 12 и 13 от страна на българските земеделски стопани в рамките на кампанията се продължава прилагането на практики и действия от ПРСР 2014-2020, които ще доведат до постигане на съществен напредък на заложените цели в рамките на Приоритет 4 и Приоритет 5, отчитайки интереса, който се проявява от страна на земеделските стопани.</w:t>
            </w:r>
          </w:p>
          <w:p w:rsidR="00A1205A" w:rsidRDefault="009E0DC1">
            <w:pPr>
              <w:spacing w:before="240" w:after="240"/>
              <w:jc w:val="left"/>
              <w:rPr>
                <w:szCs w:val="24"/>
              </w:rPr>
            </w:pPr>
            <w:r>
              <w:rPr>
                <w:szCs w:val="24"/>
              </w:rPr>
              <w:t> </w:t>
            </w:r>
          </w:p>
          <w:p w:rsidR="00A1205A" w:rsidRDefault="009E0DC1">
            <w:pPr>
              <w:spacing w:before="240" w:after="240"/>
              <w:jc w:val="left"/>
              <w:rPr>
                <w:szCs w:val="24"/>
              </w:rPr>
            </w:pPr>
            <w:r>
              <w:rPr>
                <w:szCs w:val="24"/>
              </w:rPr>
              <w:t>В рамките на подмярка 4.1 „Инвестиции в земеделски стопанства” и подмярка 4.2 „Инвестиции в преработка/маркетинг на селскостопански продукти” от друга страна се предоставя предимство за проекти, които предвиждат инвестиции в опазване на околната среда, включително намаляване на вредните емисии, инвестиции в енергийна ефективност и инвестиции в биологичното производство. По този начин се цели постигане на допълнителен ефект и се гарантира, че хоризонталният приоритет за опазване на околната среда е интегриран в най-популярните мерки, които ангажират значителни средства от Програмата.</w:t>
            </w:r>
          </w:p>
          <w:p w:rsidR="00A1205A" w:rsidRDefault="009E0DC1">
            <w:pPr>
              <w:spacing w:before="240" w:after="240"/>
              <w:jc w:val="left"/>
              <w:rPr>
                <w:szCs w:val="24"/>
              </w:rPr>
            </w:pPr>
            <w:r>
              <w:rPr>
                <w:szCs w:val="24"/>
              </w:rPr>
              <w:t>По всички инвестиционни мерки, прилагани по ПРСР, които биха могли да окажат негативно въздействие на околната среда, е заложено задължително изискване за предварителна преценка до колко предвижданите от кандидата инвестиции са в съответствие със Закона за опазване на околната среда и Закона за биологичното разнообразие. Тази преценка се извършва от компетентния орган  (Министерство на околната среда и водите и неговите областни структури) предварително и се явява основно условие за допустимост на проектите.</w:t>
            </w:r>
          </w:p>
          <w:p w:rsidR="00A1205A" w:rsidRDefault="00A1205A">
            <w:pPr>
              <w:pStyle w:val="BodyText"/>
            </w:pPr>
          </w:p>
        </w:tc>
      </w:tr>
    </w:tbl>
    <w:p w:rsidR="00A1205A" w:rsidRDefault="009E0DC1">
      <w:pPr>
        <w:pStyle w:val="Heading2"/>
      </w:pPr>
      <w:bookmarkStart w:id="142" w:name="_Toc256000141"/>
      <w:r>
        <w:t>Ролята на партньорите, посочени в член 5 от Регламент (ЕС) № 1303/2013, във връзка с изпълнението на програмата</w:t>
      </w:r>
      <w:bookmarkEnd w:id="142"/>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top w:w="120" w:type="dxa"/>
          <w:bottom w:w="120" w:type="dxa"/>
        </w:tblCellMar>
        <w:tblLook w:val="04A0" w:firstRow="1" w:lastRow="0" w:firstColumn="1" w:lastColumn="0" w:noHBand="0" w:noVBand="1"/>
      </w:tblPr>
      <w:tblGrid>
        <w:gridCol w:w="10568"/>
      </w:tblGrid>
      <w:tr w:rsidR="00A1205A">
        <w:tc>
          <w:tcPr>
            <w:tcW w:w="1750" w:type="pct"/>
            <w:shd w:val="clear" w:color="auto" w:fill="auto"/>
            <w:tcMar>
              <w:top w:w="20" w:type="dxa"/>
              <w:left w:w="20" w:type="dxa"/>
              <w:bottom w:w="20" w:type="dxa"/>
            </w:tcMar>
            <w:vAlign w:val="center"/>
          </w:tcPr>
          <w:p w:rsidR="00A1205A" w:rsidRDefault="009E0DC1">
            <w:pPr>
              <w:spacing w:before="0" w:after="240"/>
              <w:jc w:val="left"/>
              <w:rPr>
                <w:szCs w:val="24"/>
              </w:rPr>
            </w:pPr>
            <w:r>
              <w:rPr>
                <w:szCs w:val="24"/>
              </w:rPr>
              <w:t>Съставът на Комитета по наблюдение (КН) на ПРСР 2014-2020 е определен в съответствие с Регламент 1303/2013 при спазване на правилата за организацията на работа и състава, определени в Постановление на Министерския Съвет относно правилата за работа на Комитети за наблюдение на всички програми от ЕСИФ.</w:t>
            </w:r>
          </w:p>
          <w:p w:rsidR="00A1205A" w:rsidRDefault="009E0DC1">
            <w:pPr>
              <w:spacing w:before="240" w:after="240"/>
              <w:jc w:val="left"/>
              <w:rPr>
                <w:szCs w:val="24"/>
              </w:rPr>
            </w:pPr>
            <w:r>
              <w:rPr>
                <w:szCs w:val="24"/>
              </w:rPr>
              <w:t>Спазвайки приложимото законодателство в състава на Комитета са включени всички социално- икономически партньори и структури на регионалните и местни органи.</w:t>
            </w:r>
          </w:p>
          <w:p w:rsidR="00A1205A" w:rsidRDefault="009E0DC1">
            <w:pPr>
              <w:spacing w:before="240" w:after="240"/>
              <w:jc w:val="left"/>
              <w:rPr>
                <w:szCs w:val="24"/>
              </w:rPr>
            </w:pPr>
            <w:r>
              <w:rPr>
                <w:szCs w:val="24"/>
              </w:rPr>
              <w:t>С цел оптимизиране работата на Комитета и осигуряването на по – висока представителност на заинтересованите страни, по инициатива на УО на ПРСР към членовете с право на глас в Комитета са включени като наблюдатели и представители на браншови организации от различните сектори на селското стопанство. Този подход е осигурил конструктивен диалог при обсъждането на различните теми и проблеми в рамките на отделните заседания, като по този начин се вземат под внимание гледните точки и характеристиките на всички заинтересовани страни, участници в процеса.</w:t>
            </w:r>
          </w:p>
          <w:p w:rsidR="00A1205A" w:rsidRDefault="009E0DC1">
            <w:pPr>
              <w:spacing w:before="240" w:after="240"/>
              <w:jc w:val="left"/>
              <w:rPr>
                <w:szCs w:val="24"/>
              </w:rPr>
            </w:pPr>
            <w:r>
              <w:rPr>
                <w:szCs w:val="24"/>
              </w:rPr>
              <w:t>През 2016 г. са проведени три присъствени заседания на КН и едно неприсъствено заседание, проведено чрез писмена съгласувателна процедура. В рамките на тези заседания е обсъждан напредъка по изпълнение на Програмата.</w:t>
            </w:r>
          </w:p>
          <w:p w:rsidR="00A1205A" w:rsidRDefault="009E0DC1">
            <w:pPr>
              <w:spacing w:before="240" w:after="240"/>
              <w:jc w:val="left"/>
              <w:rPr>
                <w:szCs w:val="24"/>
              </w:rPr>
            </w:pPr>
            <w:r>
              <w:rPr>
                <w:szCs w:val="24"/>
              </w:rPr>
              <w:t>Обект на дискусия и вземане на решения са отделните мерки и подмерки, като по част от тях решенията са били свързани с тяхното актуализиране или промяна, а при други обект на обсъждане е било тяхното първоначално стартиране за програмния период 2014-2020. Решенията и дискусиите от проведените заседания са публикувани в специална секция на интернет страницата на министерство на земеделието и храните. Подробна информация за темите по проведените заседания на КН е представена в т.“3а“ от настоящия доклад.</w:t>
            </w:r>
          </w:p>
          <w:p w:rsidR="00A1205A" w:rsidRDefault="009E0DC1">
            <w:pPr>
              <w:spacing w:before="240" w:after="240"/>
              <w:jc w:val="left"/>
              <w:rPr>
                <w:szCs w:val="24"/>
              </w:rPr>
            </w:pPr>
            <w:r>
              <w:rPr>
                <w:szCs w:val="24"/>
              </w:rPr>
              <w:t>Въпреки липсата на изричен регламент или законодателство през 2016 г. е продължена въведената вече практика за  участие на партньорите в Тематичните работни групи (ТРГ) за разработване на националното законодателство /наредби за прилагане/ на мерките/подмерките от ПРСР 2014-2020 г.</w:t>
            </w:r>
          </w:p>
          <w:p w:rsidR="00A1205A" w:rsidRDefault="009E0DC1">
            <w:pPr>
              <w:spacing w:before="240" w:after="240"/>
              <w:jc w:val="left"/>
              <w:rPr>
                <w:szCs w:val="24"/>
              </w:rPr>
            </w:pPr>
            <w:r>
              <w:rPr>
                <w:szCs w:val="24"/>
              </w:rPr>
              <w:t>През 2016 г. са проведени работни групи по всички мерки, по които са определени периоди за прием. Работните групи са провеждани в процеса на съгласуване и обсъждане на наредбите за прилагане преди определяне на конкретните периоди на прием по всяка една мярка/подмярка. Проведени са работни групи по подмярка 2.1.2, подмярка 4.1, подмярка 6.3, подмярка 7.2, подмярка 7.6 и мярка 19.</w:t>
            </w:r>
          </w:p>
          <w:p w:rsidR="00A1205A" w:rsidRDefault="009E0DC1">
            <w:pPr>
              <w:spacing w:before="240" w:after="240"/>
              <w:jc w:val="left"/>
              <w:rPr>
                <w:szCs w:val="24"/>
              </w:rPr>
            </w:pPr>
            <w:r>
              <w:rPr>
                <w:szCs w:val="24"/>
              </w:rPr>
              <w:t>В рамкие на тези работни групи участие са взели и представители на различни държавни институции в зависимост от характера на обсъжданите теми. В работните групи са участвали представители на БАБХ, МОСВ, ДФ „Земеделие“, Българска православна църква-Българска Патриаршия (БПЦ), Национално сдружение на общините в Република България (НСОРБ) и др.</w:t>
            </w:r>
          </w:p>
          <w:p w:rsidR="00A1205A" w:rsidRDefault="009E0DC1">
            <w:pPr>
              <w:spacing w:before="240" w:after="240"/>
              <w:jc w:val="left"/>
              <w:rPr>
                <w:szCs w:val="24"/>
              </w:rPr>
            </w:pPr>
            <w:r>
              <w:rPr>
                <w:szCs w:val="24"/>
              </w:rPr>
              <w:t>В рамките на своите компетенции Управляващият орган чрез свои представители ежемесечно е участвал през 2016 г. в различни форуми, конференции, семинари и др., в рамките, на които се обсъждат въпроси, свързани с прилагането на отделните мерки и подмерки от Програмата. Този подход е дал възможност за по обширна дискусия с по – голяма част от заинтереосваните страни, а получената информация  е ползвана при извършването на анализи и възможни решения, които се прилагат по отделните мерки.</w:t>
            </w:r>
          </w:p>
          <w:p w:rsidR="00A1205A" w:rsidRDefault="009E0DC1">
            <w:pPr>
              <w:spacing w:before="240" w:after="240"/>
              <w:jc w:val="left"/>
              <w:rPr>
                <w:szCs w:val="24"/>
              </w:rPr>
            </w:pPr>
            <w:r>
              <w:rPr>
                <w:szCs w:val="24"/>
              </w:rPr>
              <w:t>Прилаганият подход през 2016 г. от страна на Управляващия орган по отношение на ролята и включването на партньорите в процеса на изпълнение на Програмата в рамките на дейности извън работата на Комитета за наблюдение, могат да бъдат определени като въведена добра практика, която да бъде прилагана и за в бъдеще.</w:t>
            </w:r>
          </w:p>
          <w:p w:rsidR="00A1205A" w:rsidRDefault="00A1205A">
            <w:pPr>
              <w:pStyle w:val="BodyText"/>
            </w:pPr>
          </w:p>
        </w:tc>
      </w:tr>
    </w:tbl>
    <w:p w:rsidR="00A1205A" w:rsidRDefault="009E0DC1">
      <w:pPr>
        <w:pStyle w:val="Heading1"/>
      </w:pPr>
      <w:r>
        <w:br w:type="page"/>
      </w:r>
      <w:bookmarkStart w:id="143" w:name="_Toc256000142"/>
      <w:r>
        <w:t>Напредък в осигуряването на интегриран подход при използването на ЕЗФРСР и на други финансови инструменти на ЕС</w:t>
      </w:r>
      <w:bookmarkEnd w:id="143"/>
    </w:p>
    <w:p w:rsidR="00A1205A" w:rsidRDefault="009E0DC1">
      <w:r>
        <w:t>Този раздел се отнася само за годишния/ите доклад/и за изпълнението 2018</w:t>
      </w:r>
    </w:p>
    <w:p w:rsidR="00A1205A" w:rsidRDefault="00A1205A">
      <w:pPr>
        <w:sectPr w:rsidR="00A1205A">
          <w:pgSz w:w="12240" w:h="15840"/>
          <w:pgMar w:top="900" w:right="900" w:bottom="900" w:left="900" w:header="720" w:footer="720" w:gutter="0"/>
          <w:cols w:space="720"/>
        </w:sectPr>
      </w:pPr>
    </w:p>
    <w:p w:rsidR="00A1205A" w:rsidRDefault="009E0DC1">
      <w:pPr>
        <w:pStyle w:val="Heading1"/>
      </w:pPr>
      <w:bookmarkStart w:id="144" w:name="_Toc256000143"/>
      <w:r>
        <w:t>Доклад за изпълнението на финансовите инструменти (член 46 от Регламент (ЕС) № 1303/2013)</w:t>
      </w:r>
      <w:bookmarkEnd w:id="14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5"/>
        <w:gridCol w:w="3593"/>
      </w:tblGrid>
      <w:tr w:rsidR="00A1205A">
        <w:tc>
          <w:tcPr>
            <w:tcW w:w="3300" w:type="pct"/>
            <w:shd w:val="clear" w:color="auto" w:fill="auto"/>
            <w:tcMar>
              <w:top w:w="20" w:type="dxa"/>
              <w:left w:w="20" w:type="dxa"/>
              <w:bottom w:w="20" w:type="dxa"/>
            </w:tcMar>
            <w:vAlign w:val="center"/>
          </w:tcPr>
          <w:p w:rsidR="00A1205A" w:rsidRDefault="009E0DC1">
            <w:pPr>
              <w:spacing w:before="20" w:after="20"/>
              <w:jc w:val="left"/>
            </w:pPr>
            <w:r>
              <w:t>30A. Започнала ли е предварителната оценка?</w:t>
            </w:r>
          </w:p>
        </w:tc>
        <w:tc>
          <w:tcPr>
            <w:tcW w:w="0" w:type="auto"/>
            <w:shd w:val="clear" w:color="auto" w:fill="auto"/>
            <w:tcMar>
              <w:top w:w="20" w:type="dxa"/>
              <w:left w:w="20" w:type="dxa"/>
              <w:bottom w:w="20" w:type="dxa"/>
            </w:tcMar>
            <w:vAlign w:val="center"/>
          </w:tcPr>
          <w:p w:rsidR="00A1205A" w:rsidRDefault="009E0DC1">
            <w:pPr>
              <w:spacing w:before="20" w:after="20"/>
              <w:jc w:val="left"/>
            </w:pPr>
            <w:r>
              <w:t>Да</w:t>
            </w:r>
          </w:p>
        </w:tc>
      </w:tr>
      <w:tr w:rsidR="00A1205A">
        <w:tc>
          <w:tcPr>
            <w:tcW w:w="3300" w:type="pct"/>
            <w:shd w:val="clear" w:color="auto" w:fill="auto"/>
            <w:tcMar>
              <w:top w:w="20" w:type="dxa"/>
              <w:left w:w="20" w:type="dxa"/>
              <w:bottom w:w="20" w:type="dxa"/>
            </w:tcMar>
            <w:vAlign w:val="center"/>
          </w:tcPr>
          <w:p w:rsidR="00A1205A" w:rsidRDefault="009E0DC1">
            <w:pPr>
              <w:spacing w:before="20" w:after="20"/>
              <w:jc w:val="left"/>
            </w:pPr>
            <w:r>
              <w:t>30Б. Завършена ли е предварителната оценка?</w:t>
            </w:r>
          </w:p>
        </w:tc>
        <w:tc>
          <w:tcPr>
            <w:tcW w:w="0" w:type="auto"/>
            <w:shd w:val="clear" w:color="auto" w:fill="auto"/>
            <w:tcMar>
              <w:top w:w="20" w:type="dxa"/>
              <w:left w:w="20" w:type="dxa"/>
              <w:bottom w:w="20" w:type="dxa"/>
            </w:tcMar>
            <w:vAlign w:val="center"/>
          </w:tcPr>
          <w:p w:rsidR="00A1205A" w:rsidRDefault="009E0DC1">
            <w:pPr>
              <w:spacing w:before="20" w:after="20"/>
              <w:jc w:val="left"/>
            </w:pPr>
            <w:r>
              <w:t>Не</w:t>
            </w:r>
          </w:p>
        </w:tc>
      </w:tr>
      <w:tr w:rsidR="00A1205A">
        <w:tc>
          <w:tcPr>
            <w:tcW w:w="3300" w:type="pct"/>
            <w:shd w:val="clear" w:color="auto" w:fill="auto"/>
            <w:tcMar>
              <w:top w:w="20" w:type="dxa"/>
              <w:left w:w="20" w:type="dxa"/>
              <w:bottom w:w="20" w:type="dxa"/>
            </w:tcMar>
            <w:vAlign w:val="center"/>
          </w:tcPr>
          <w:p w:rsidR="00A1205A" w:rsidRDefault="009E0DC1">
            <w:pPr>
              <w:spacing w:before="20" w:after="20"/>
              <w:jc w:val="left"/>
            </w:pPr>
            <w:r>
              <w:t>30. Дата на завършване на предварителната оценка</w:t>
            </w:r>
          </w:p>
        </w:tc>
        <w:tc>
          <w:tcPr>
            <w:tcW w:w="0" w:type="auto"/>
            <w:shd w:val="clear" w:color="auto" w:fill="auto"/>
            <w:tcMar>
              <w:top w:w="20" w:type="dxa"/>
              <w:left w:w="20" w:type="dxa"/>
              <w:bottom w:w="20" w:type="dxa"/>
            </w:tcMar>
            <w:vAlign w:val="center"/>
          </w:tcPr>
          <w:p w:rsidR="00A1205A" w:rsidRDefault="009E0DC1">
            <w:pPr>
              <w:spacing w:before="20" w:after="20"/>
              <w:jc w:val="left"/>
            </w:pPr>
            <w:r>
              <w:t xml:space="preserve"> - </w:t>
            </w:r>
          </w:p>
        </w:tc>
      </w:tr>
      <w:tr w:rsidR="00A1205A">
        <w:tc>
          <w:tcPr>
            <w:tcW w:w="3300" w:type="pct"/>
            <w:shd w:val="clear" w:color="auto" w:fill="auto"/>
            <w:tcMar>
              <w:top w:w="20" w:type="dxa"/>
              <w:left w:w="20" w:type="dxa"/>
              <w:bottom w:w="20" w:type="dxa"/>
            </w:tcMar>
            <w:vAlign w:val="center"/>
          </w:tcPr>
          <w:p w:rsidR="00A1205A" w:rsidRDefault="009E0DC1">
            <w:pPr>
              <w:spacing w:before="20" w:after="20"/>
              <w:jc w:val="left"/>
            </w:pPr>
            <w:r>
              <w:t>31.1. Вече започнал ли е процес на избор или определяне?</w:t>
            </w:r>
          </w:p>
        </w:tc>
        <w:tc>
          <w:tcPr>
            <w:tcW w:w="0" w:type="auto"/>
            <w:shd w:val="clear" w:color="auto" w:fill="auto"/>
            <w:tcMar>
              <w:top w:w="20" w:type="dxa"/>
              <w:left w:w="20" w:type="dxa"/>
              <w:bottom w:w="20" w:type="dxa"/>
            </w:tcMar>
            <w:vAlign w:val="center"/>
          </w:tcPr>
          <w:p w:rsidR="00A1205A" w:rsidRDefault="009E0DC1">
            <w:pPr>
              <w:spacing w:before="20" w:after="20"/>
              <w:jc w:val="left"/>
            </w:pPr>
            <w:r>
              <w:t>Не</w:t>
            </w:r>
          </w:p>
        </w:tc>
      </w:tr>
      <w:tr w:rsidR="00A1205A">
        <w:tc>
          <w:tcPr>
            <w:tcW w:w="3300" w:type="pct"/>
            <w:shd w:val="clear" w:color="auto" w:fill="auto"/>
            <w:tcMar>
              <w:top w:w="20" w:type="dxa"/>
              <w:left w:w="20" w:type="dxa"/>
              <w:bottom w:w="20" w:type="dxa"/>
            </w:tcMar>
            <w:vAlign w:val="center"/>
          </w:tcPr>
          <w:p w:rsidR="00A1205A" w:rsidRDefault="009E0DC1">
            <w:pPr>
              <w:spacing w:before="20" w:after="20"/>
              <w:jc w:val="left"/>
            </w:pPr>
            <w:r>
              <w:t>13A. Споразумението за финансиране подписано ли е?</w:t>
            </w:r>
          </w:p>
        </w:tc>
        <w:tc>
          <w:tcPr>
            <w:tcW w:w="0" w:type="auto"/>
            <w:shd w:val="clear" w:color="auto" w:fill="auto"/>
            <w:tcMar>
              <w:top w:w="20" w:type="dxa"/>
              <w:left w:w="20" w:type="dxa"/>
              <w:bottom w:w="20" w:type="dxa"/>
            </w:tcMar>
            <w:vAlign w:val="center"/>
          </w:tcPr>
          <w:p w:rsidR="00A1205A" w:rsidRDefault="009E0DC1">
            <w:pPr>
              <w:spacing w:before="20" w:after="20"/>
              <w:jc w:val="left"/>
            </w:pPr>
            <w:r>
              <w:t>Не</w:t>
            </w:r>
          </w:p>
        </w:tc>
      </w:tr>
      <w:tr w:rsidR="00A1205A">
        <w:tc>
          <w:tcPr>
            <w:tcW w:w="3300" w:type="pct"/>
            <w:shd w:val="clear" w:color="auto" w:fill="auto"/>
            <w:tcMar>
              <w:top w:w="20" w:type="dxa"/>
              <w:left w:w="20" w:type="dxa"/>
              <w:bottom w:w="20" w:type="dxa"/>
            </w:tcMar>
            <w:vAlign w:val="center"/>
          </w:tcPr>
          <w:p w:rsidR="00A1205A" w:rsidRDefault="009E0DC1">
            <w:pPr>
              <w:spacing w:before="20" w:after="20"/>
              <w:jc w:val="left"/>
            </w:pPr>
            <w:r>
              <w:t>13. Дата на подписване на споразумението за финансиране с органа, изпълняващ финансовия инструмент</w:t>
            </w:r>
          </w:p>
        </w:tc>
        <w:tc>
          <w:tcPr>
            <w:tcW w:w="0" w:type="auto"/>
            <w:shd w:val="clear" w:color="auto" w:fill="auto"/>
            <w:tcMar>
              <w:top w:w="20" w:type="dxa"/>
              <w:left w:w="20" w:type="dxa"/>
              <w:bottom w:w="20" w:type="dxa"/>
            </w:tcMar>
            <w:vAlign w:val="center"/>
          </w:tcPr>
          <w:p w:rsidR="00A1205A" w:rsidRDefault="009E0DC1">
            <w:pPr>
              <w:spacing w:before="20" w:after="20"/>
              <w:jc w:val="left"/>
            </w:pPr>
            <w:r>
              <w:t xml:space="preserve"> - </w:t>
            </w:r>
          </w:p>
        </w:tc>
      </w:tr>
    </w:tbl>
    <w:p w:rsidR="00A1205A" w:rsidRDefault="00A1205A">
      <w:pPr>
        <w:rPr>
          <w:sz w:val="28"/>
        </w:rPr>
      </w:pPr>
    </w:p>
    <w:p w:rsidR="00A1205A" w:rsidRDefault="009E0DC1">
      <w:pPr>
        <w:rPr>
          <w:sz w:val="28"/>
        </w:rPr>
      </w:pPr>
      <w:r>
        <w:rPr>
          <w:sz w:val="28"/>
        </w:rPr>
        <w:t>List of Financial Instruments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2822"/>
        <w:gridCol w:w="4062"/>
      </w:tblGrid>
      <w:tr w:rsidR="00A1205A">
        <w:tc>
          <w:tcPr>
            <w:tcW w:w="0" w:type="auto"/>
            <w:shd w:val="clear" w:color="auto" w:fill="C0C0C0"/>
            <w:tcMar>
              <w:top w:w="20" w:type="dxa"/>
              <w:left w:w="20" w:type="dxa"/>
              <w:bottom w:w="20" w:type="dxa"/>
            </w:tcMar>
            <w:vAlign w:val="center"/>
          </w:tcPr>
          <w:p w:rsidR="00A1205A" w:rsidRDefault="009E0DC1">
            <w:pPr>
              <w:jc w:val="center"/>
            </w:pPr>
            <w:r>
              <w:t>Наименование на финансовия инструмент</w:t>
            </w:r>
          </w:p>
        </w:tc>
        <w:tc>
          <w:tcPr>
            <w:tcW w:w="0" w:type="auto"/>
            <w:shd w:val="clear" w:color="auto" w:fill="C0C0C0"/>
            <w:tcMar>
              <w:top w:w="20" w:type="dxa"/>
              <w:left w:w="20" w:type="dxa"/>
              <w:bottom w:w="20" w:type="dxa"/>
            </w:tcMar>
            <w:vAlign w:val="center"/>
          </w:tcPr>
          <w:p w:rsidR="00A1205A" w:rsidRDefault="009E0DC1">
            <w:pPr>
              <w:jc w:val="center"/>
            </w:pPr>
            <w:r>
              <w:t>Вид на финансовия инструмент</w:t>
            </w:r>
          </w:p>
        </w:tc>
        <w:tc>
          <w:tcPr>
            <w:tcW w:w="0" w:type="auto"/>
            <w:shd w:val="clear" w:color="auto" w:fill="C0C0C0"/>
            <w:tcMar>
              <w:top w:w="20" w:type="dxa"/>
              <w:left w:w="20" w:type="dxa"/>
              <w:bottom w:w="20" w:type="dxa"/>
            </w:tcMar>
            <w:vAlign w:val="center"/>
          </w:tcPr>
          <w:p w:rsidR="00A1205A" w:rsidRDefault="009E0DC1">
            <w:pPr>
              <w:jc w:val="center"/>
              <w:rPr>
                <w:sz w:val="16"/>
              </w:rPr>
            </w:pPr>
            <w:r>
              <w:t>Свързани фондове — част от фондови структури</w:t>
            </w:r>
          </w:p>
        </w:tc>
      </w:tr>
    </w:tbl>
    <w:p w:rsidR="00A1205A" w:rsidRDefault="00A1205A">
      <w:pPr>
        <w:rPr>
          <w:sz w:val="28"/>
        </w:rPr>
        <w:sectPr w:rsidR="00A1205A">
          <w:pgSz w:w="12240" w:h="15840"/>
          <w:pgMar w:top="900" w:right="900" w:bottom="900" w:left="900" w:header="720" w:footer="720" w:gutter="0"/>
          <w:cols w:space="720"/>
        </w:sectPr>
      </w:pPr>
    </w:p>
    <w:p w:rsidR="00A1205A" w:rsidRDefault="009E0DC1">
      <w:pPr>
        <w:pStyle w:val="Heading1"/>
      </w:pPr>
      <w:bookmarkStart w:id="145" w:name="_Toc256000144"/>
      <w:r>
        <w:t>Кодиращи таблици за общи и специфични за програмата показатели и количествени целеви стойности</w:t>
      </w:r>
      <w:bookmarkEnd w:id="145"/>
    </w:p>
    <w:p w:rsidR="00A1205A" w:rsidRDefault="009E0DC1">
      <w:r>
        <w:t>See Monitoring Annex</w:t>
      </w:r>
    </w:p>
    <w:p w:rsidR="00A1205A" w:rsidRDefault="009E0DC1">
      <w:pPr>
        <w:pStyle w:val="Subtitle"/>
      </w:pPr>
      <w:r>
        <w:br w:type="page"/>
      </w:r>
      <w:bookmarkStart w:id="146" w:name="_Toc256000145"/>
      <w:r>
        <w:t>Annex II</w:t>
      </w:r>
      <w:bookmarkEnd w:id="146"/>
    </w:p>
    <w:p w:rsidR="00A1205A" w:rsidRDefault="009E0DC1">
      <w:r>
        <w:t>Detailed table showing implementation level by Focus areas including output indicators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A1205A">
        <w:tc>
          <w:tcPr>
            <w:tcW w:w="0" w:type="auto"/>
            <w:gridSpan w:val="8"/>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1A</w:t>
            </w:r>
          </w:p>
        </w:tc>
      </w:tr>
      <w:tr w:rsidR="00A1205A">
        <w:tc>
          <w:tcPr>
            <w:tcW w:w="20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1A</w:t>
            </w:r>
          </w:p>
        </w:tc>
        <w:tc>
          <w:tcPr>
            <w:tcW w:w="1050" w:type="pct"/>
            <w:vMerge w:val="restart"/>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 процент на разходи по членове 14, 15 и 35 от Регламент (ЕС) № 1305/2013 във връзка с общите разходи за ПРСР (област с поставен акцент 1А)</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2,67</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1B</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1B</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T2: общ брой на операциите за сътрудничество, подпомагани по мярката за сътрудничество (член 35 от Регламент (ЕС) № 1305/2013) (групи, мрежи/клъстери, пилотни проекти...) (област с поставен акцент 1Б)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470,00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0"/>
        <w:gridCol w:w="2205"/>
        <w:gridCol w:w="1043"/>
        <w:gridCol w:w="1571"/>
        <w:gridCol w:w="1043"/>
        <w:gridCol w:w="1571"/>
        <w:gridCol w:w="1043"/>
        <w:gridCol w:w="1572"/>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1C</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1C</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T3: общ брой на участниците в обучения съгласно член 14 от Регламент (ЕС) № 1305/2013 (област с поставен акцент 1В)</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4 800,00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2A</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2A</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0,16</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16,94</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0,04</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4,23</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0,94</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2A</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99 916 066,00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39,48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12 014 168,27</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4,75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253 067 467,60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14 625 000,00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8 030,00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99 871 066,00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60,63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12 014 168,27</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7,29</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164 719 395,70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20 419 319,50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8,53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239 255 663,30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12 014 168,27</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7,29</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164 719 395,70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130,00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3,71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3 500,00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99 965 859,90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45 000,00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60 945 294,10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60 945 294,10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4 060,00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7 777 777,80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2B</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2B</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0,42</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50,85</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0,01</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1,21</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0,83</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2B</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88 073 146,00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87,32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3 788 781,20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3,76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100 864 735,10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928 796,00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68,71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1 351 714,00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52 769 350,00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251,28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3 788 781,20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18,04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5 599 665,31</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35 000 000,00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37,00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6,17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34 375 000,00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44,93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76 513 021,10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76 513 021,10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76 513 021,10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M06.1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3 060,00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2C+</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2C+</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Фирми, получили подпомагане  (брой)</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E6E6E6"/>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120,00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E6E6E6"/>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2C+</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18 000 000,00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18 000 000,00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M08.6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18 000 000,00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3A</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3A</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0,12</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3A</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112 112 596,00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41,13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272 554 037,20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984 000,00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3 150,00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112 112 596,00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58,42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191 901 476,50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380 994 417,70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p w:rsidR="00A1205A" w:rsidRDefault="009E0DC1">
            <w:pPr>
              <w:keepNext/>
              <w:spacing w:before="60" w:after="60"/>
              <w:jc w:val="left"/>
              <w:rPr>
                <w:sz w:val="16"/>
              </w:rPr>
            </w:pPr>
            <w:r>
              <w:rPr>
                <w:sz w:val="16"/>
              </w:rPr>
              <w:t>M04.2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1 555,00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5 257 548,00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5 257 548,00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M06.2</w:t>
            </w:r>
          </w:p>
          <w:p w:rsidR="00A1205A" w:rsidRDefault="009E0DC1">
            <w:pPr>
              <w:keepNext/>
              <w:spacing w:before="60" w:after="60"/>
              <w:jc w:val="left"/>
              <w:rPr>
                <w:sz w:val="16"/>
              </w:rPr>
            </w:pPr>
            <w:r>
              <w:rPr>
                <w:sz w:val="16"/>
              </w:rPr>
              <w:t>M06.4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M09</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7 795 946,60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M09</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M09</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O9 - Брой земеделски стопанства, които участват в подпомаганите схеми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170,00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56 859 510,50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9 555 555,60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O9 - Брой земеделски стопанства, които участват в подпомаганите схеми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280,00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3B</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3B</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Брой на участниците в обучения по Мярка 1 "Трансфер на знания и действия за осведомяване " (number)</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E6E6E6"/>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E6E6E6"/>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3B</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350 000,00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150 000,00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150,00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Приоритет P4</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P4</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2,31</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2,56</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1,35</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114,00</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1,18</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1,35</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53,47</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2,52</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14,79</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123,26</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P4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304 004 695,00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30,92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105 553 833,81</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10,74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983 098 022,80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5 900 000,00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1 325 318,00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1 725,00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158 157 452,70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258 084 643,30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936,00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17 059 596,50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17 059 596,50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56,00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M10</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98 978 332,00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45,96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23 119 587,53</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10,74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215 346 669,30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205 133,00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181,53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113 000,00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55 088 139,00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36,34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14 473 378,34</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9,55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151 593 438,70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33 663,18</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146,36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M11.2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2 540,40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11,05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53 118 156,00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38,03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24 595 261,79</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17,61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139 676 037,30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410 442,00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106,61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385 000,00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M12.2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M12.3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96 820 068,00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35,13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43 365 606,15</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15,73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275 604 674,70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M13.1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329 382,00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106,25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310 000,00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M13.2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242 541,00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110,25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220 000,00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M15</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8 750 000,00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M15.1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90 600,00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9 684 835,60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5A</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5A</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T14: процент на поливните площи, преминаващи към по-ефективна напоителна система (област с поставен акцент 5А)</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49,78</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5A</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105 286 971,10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650,00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99 965 860,00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99 965 860,00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45 000,00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p w:rsidR="00A1205A" w:rsidRDefault="009E0DC1">
            <w:pPr>
              <w:keepNext/>
              <w:spacing w:before="60" w:after="60"/>
              <w:jc w:val="left"/>
              <w:rPr>
                <w:sz w:val="16"/>
              </w:rPr>
            </w:pPr>
            <w:r>
              <w:rPr>
                <w:sz w:val="16"/>
              </w:rPr>
              <w:t>M04.3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1 111 111,10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5B</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5B</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T15: общи инвестиции за енергийна ефективност (в евро) (област с поставен акцент 5Б)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3 442 239,96</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1,59</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442 716,77</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0,20</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216 674 111,30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5B</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11 045 377,00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8,97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40 787,44</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123 152 677,90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2 550 000,00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467 100,00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850,00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11 045 377,00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9,28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40 787,44</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119 024 466,80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442 716,77</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0,20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216 674 111,30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p w:rsidR="00A1205A" w:rsidRDefault="009E0DC1">
            <w:pPr>
              <w:keepNext/>
              <w:spacing w:before="60" w:after="60"/>
              <w:jc w:val="left"/>
              <w:rPr>
                <w:sz w:val="16"/>
              </w:rPr>
            </w:pPr>
            <w:r>
              <w:rPr>
                <w:sz w:val="16"/>
              </w:rPr>
              <w:t>M04.2</w:t>
            </w:r>
          </w:p>
          <w:p w:rsidR="00A1205A" w:rsidRDefault="009E0DC1">
            <w:pPr>
              <w:keepNext/>
              <w:spacing w:before="60" w:after="60"/>
              <w:jc w:val="left"/>
              <w:rPr>
                <w:sz w:val="16"/>
              </w:rPr>
            </w:pPr>
            <w:r>
              <w:rPr>
                <w:sz w:val="16"/>
              </w:rPr>
              <w:t>M04.3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0,49</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405,00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1 111 111,10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5C</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5C</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T16: общ размер на инвестициите в производство на енергия от възобновяеми източници (в евро) (област с поставен акцент 5В)</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435 866,93</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0,29</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435 866,93</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0,29</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149 544 703,80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5C</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391 249,00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0,34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39 960,22</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115 211 488,70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550 000,00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215 555,30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370,00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391 249,00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0,90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39 960,22</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0,09</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43 334 822,30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435 866,93</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0,55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79 544 703,80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p w:rsidR="00A1205A" w:rsidRDefault="009E0DC1">
            <w:pPr>
              <w:keepNext/>
              <w:spacing w:before="60" w:after="60"/>
              <w:jc w:val="left"/>
              <w:rPr>
                <w:sz w:val="16"/>
              </w:rPr>
            </w:pPr>
            <w:r>
              <w:rPr>
                <w:sz w:val="16"/>
              </w:rPr>
              <w:t>M04.3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0,47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215,00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70 000 000,00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M07.2</w:t>
            </w:r>
          </w:p>
          <w:p w:rsidR="00A1205A" w:rsidRDefault="009E0DC1">
            <w:pPr>
              <w:keepNext/>
              <w:spacing w:before="60" w:after="60"/>
              <w:jc w:val="left"/>
              <w:rPr>
                <w:sz w:val="16"/>
              </w:rPr>
            </w:pPr>
            <w:r>
              <w:rPr>
                <w:sz w:val="16"/>
              </w:rPr>
              <w:t>M07.3</w:t>
            </w:r>
          </w:p>
          <w:p w:rsidR="00A1205A" w:rsidRDefault="009E0DC1">
            <w:pPr>
              <w:keepNext/>
              <w:spacing w:before="60" w:after="60"/>
              <w:jc w:val="left"/>
              <w:rPr>
                <w:sz w:val="16"/>
              </w:rPr>
            </w:pPr>
            <w:r>
              <w:rPr>
                <w:sz w:val="16"/>
              </w:rPr>
              <w:t>M07.4</w:t>
            </w:r>
          </w:p>
          <w:p w:rsidR="00A1205A" w:rsidRDefault="009E0DC1">
            <w:pPr>
              <w:keepNext/>
              <w:spacing w:before="60" w:after="60"/>
              <w:jc w:val="left"/>
              <w:rPr>
                <w:sz w:val="16"/>
              </w:rPr>
            </w:pPr>
            <w:r>
              <w:rPr>
                <w:sz w:val="16"/>
              </w:rPr>
              <w:t>M07.5</w:t>
            </w:r>
          </w:p>
          <w:p w:rsidR="00A1205A" w:rsidRDefault="009E0DC1">
            <w:pPr>
              <w:keepNext/>
              <w:spacing w:before="60" w:after="60"/>
              <w:jc w:val="left"/>
              <w:rPr>
                <w:sz w:val="16"/>
              </w:rPr>
            </w:pPr>
            <w:r>
              <w:rPr>
                <w:sz w:val="16"/>
              </w:rPr>
              <w:t>M07.6</w:t>
            </w:r>
          </w:p>
          <w:p w:rsidR="00A1205A" w:rsidRDefault="009E0DC1">
            <w:pPr>
              <w:keepNext/>
              <w:spacing w:before="60" w:after="60"/>
              <w:jc w:val="left"/>
              <w:rPr>
                <w:sz w:val="16"/>
              </w:rPr>
            </w:pPr>
            <w:r>
              <w:rPr>
                <w:sz w:val="16"/>
              </w:rPr>
              <w:t>M07.7</w:t>
            </w:r>
          </w:p>
          <w:p w:rsidR="00A1205A" w:rsidRDefault="009E0DC1">
            <w:pPr>
              <w:keepNext/>
              <w:spacing w:before="60" w:after="60"/>
              <w:jc w:val="left"/>
              <w:rPr>
                <w:sz w:val="16"/>
              </w:rPr>
            </w:pPr>
            <w:r>
              <w:rPr>
                <w:sz w:val="16"/>
              </w:rPr>
              <w:t>M07.8</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70 000 000,00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1 111 111,10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5D</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5D</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0,54</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345,26</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0,16</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1,58</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5D</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14 637 496,00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26,21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5 828 606,63</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10,44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55 841 250,60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3 694 595,00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285 900,00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1 800,00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768 229,00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1,80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42 749 644,50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71 249 407,50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p w:rsidR="00A1205A" w:rsidRDefault="009E0DC1">
            <w:pPr>
              <w:keepNext/>
              <w:spacing w:before="60" w:after="60"/>
              <w:jc w:val="left"/>
              <w:rPr>
                <w:sz w:val="16"/>
              </w:rPr>
            </w:pPr>
            <w:r>
              <w:rPr>
                <w:sz w:val="16"/>
              </w:rPr>
              <w:t>M04.3</w:t>
            </w:r>
          </w:p>
          <w:p w:rsidR="00A1205A" w:rsidRDefault="009E0DC1">
            <w:pPr>
              <w:keepNext/>
              <w:spacing w:before="60" w:after="60"/>
              <w:jc w:val="left"/>
              <w:rPr>
                <w:sz w:val="16"/>
              </w:rPr>
            </w:pPr>
            <w:r>
              <w:rPr>
                <w:sz w:val="16"/>
              </w:rPr>
              <w:t>M04.4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370,00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M04.1</w:t>
            </w:r>
          </w:p>
          <w:p w:rsidR="00A1205A" w:rsidRDefault="009E0DC1">
            <w:pPr>
              <w:keepNext/>
              <w:spacing w:before="60" w:after="60"/>
              <w:jc w:val="left"/>
              <w:rPr>
                <w:sz w:val="16"/>
              </w:rPr>
            </w:pPr>
            <w:r>
              <w:rPr>
                <w:sz w:val="16"/>
              </w:rPr>
              <w:t>M04.3</w:t>
            </w:r>
          </w:p>
          <w:p w:rsidR="00A1205A" w:rsidRDefault="009E0DC1">
            <w:pPr>
              <w:keepNext/>
              <w:spacing w:before="60" w:after="60"/>
              <w:jc w:val="left"/>
              <w:rPr>
                <w:sz w:val="16"/>
              </w:rPr>
            </w:pPr>
            <w:r>
              <w:rPr>
                <w:sz w:val="16"/>
              </w:rPr>
              <w:t>M04.4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O8 - Брой на подпомаганите животински единици (ЖЕ)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18 105,00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M10</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13 869 267,00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173,37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5 828 606,63</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72,86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24 040,00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343,43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1 111 111,10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5E</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5E</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0,02</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5E</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31 156 389,70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1 300 000,00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M01.1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O12 - Брой на участниците в обучения</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277 500,00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M02.1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O13 - Брой на консултираните бенефициери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1 800,00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28 467 778,60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9 217 778,60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O5 - Обща площ (ha)</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2 050,00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8 000 000,00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M08.5</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11 250 000,00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M08.5</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1 111 111,10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6A</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6A</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T20: работни места, разкрити в подпомогнатите проекти (област с поставен акцент 6А)</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4 270,00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6A</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127 945 241,00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127 945 241,00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O2 - Общ размер на инвестициите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161 421 952,20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M06.2</w:t>
            </w:r>
          </w:p>
          <w:p w:rsidR="00A1205A" w:rsidRDefault="009E0DC1">
            <w:pPr>
              <w:spacing w:before="60" w:after="60"/>
              <w:jc w:val="left"/>
              <w:rPr>
                <w:sz w:val="16"/>
              </w:rPr>
            </w:pPr>
            <w:r>
              <w:rPr>
                <w:sz w:val="16"/>
              </w:rPr>
              <w:t>M06.4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O4 - Брой на стопанствата/бенефициерите,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1 600,00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6B</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6B</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T23: работни места, разкрити в подпомогнатите проекти (Leader) (област с поставен акцент 6Б)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600,00</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T22: процент от населението в селските райони, което се възползва от подобрените услуги/инфраструктура (област с поставен акцент 6Б)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33,36</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T21: процент от населението в селските райони, обхванато от стратегии за местно развитие (област с поставен акцент 6Б)</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16,42</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71,68</w:t>
            </w: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22,91</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6B</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65 574 803,10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9,98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232 153,69</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657 210 187,30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525 725 910,60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M07.1</w:t>
            </w:r>
          </w:p>
          <w:p w:rsidR="00A1205A" w:rsidRDefault="009E0DC1">
            <w:pPr>
              <w:keepNext/>
              <w:spacing w:before="60" w:after="60"/>
              <w:jc w:val="left"/>
              <w:rPr>
                <w:sz w:val="16"/>
              </w:rPr>
            </w:pPr>
            <w:r>
              <w:rPr>
                <w:sz w:val="16"/>
              </w:rPr>
              <w:t>M07.2</w:t>
            </w:r>
          </w:p>
          <w:p w:rsidR="00A1205A" w:rsidRDefault="009E0DC1">
            <w:pPr>
              <w:keepNext/>
              <w:spacing w:before="60" w:after="60"/>
              <w:jc w:val="left"/>
              <w:rPr>
                <w:sz w:val="16"/>
              </w:rPr>
            </w:pPr>
            <w:r>
              <w:rPr>
                <w:sz w:val="16"/>
              </w:rPr>
              <w:t>M07.4</w:t>
            </w:r>
          </w:p>
          <w:p w:rsidR="00A1205A" w:rsidRDefault="009E0DC1">
            <w:pPr>
              <w:keepNext/>
              <w:spacing w:before="60" w:after="60"/>
              <w:jc w:val="left"/>
              <w:rPr>
                <w:sz w:val="16"/>
              </w:rPr>
            </w:pPr>
            <w:r>
              <w:rPr>
                <w:sz w:val="16"/>
              </w:rPr>
              <w:t>M07.5</w:t>
            </w:r>
          </w:p>
          <w:p w:rsidR="00A1205A" w:rsidRDefault="009E0DC1">
            <w:pPr>
              <w:keepNext/>
              <w:spacing w:before="60" w:after="60"/>
              <w:jc w:val="left"/>
              <w:rPr>
                <w:sz w:val="16"/>
              </w:rPr>
            </w:pPr>
            <w:r>
              <w:rPr>
                <w:sz w:val="16"/>
              </w:rPr>
              <w:t>M07.6</w:t>
            </w:r>
          </w:p>
          <w:p w:rsidR="00A1205A" w:rsidRDefault="009E0DC1">
            <w:pPr>
              <w:keepNext/>
              <w:spacing w:before="60" w:after="60"/>
              <w:jc w:val="left"/>
              <w:rPr>
                <w:sz w:val="16"/>
              </w:rPr>
            </w:pPr>
            <w:r>
              <w:rPr>
                <w:sz w:val="16"/>
              </w:rPr>
              <w:t>M07.7</w:t>
            </w:r>
          </w:p>
          <w:p w:rsidR="00A1205A" w:rsidRDefault="009E0DC1">
            <w:pPr>
              <w:keepNext/>
              <w:spacing w:before="60" w:after="60"/>
              <w:jc w:val="left"/>
              <w:rPr>
                <w:sz w:val="16"/>
              </w:rPr>
            </w:pPr>
            <w:r>
              <w:rPr>
                <w:sz w:val="16"/>
              </w:rPr>
              <w:t>M07.8</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O15 - Брой на жителите, които се ползват от подобрени услуги/инфраструктура (ИТ или други)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1 995 000,00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570,00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M07.5</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250,00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M07.6</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M19</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65 574 803,10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49,87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232 153,69</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0,18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131 484 276,70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M19</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O18 - Брой на жителите, обхванати от местните групи за действие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982 230,00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71,70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1 370 000,00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M19</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O19 - Брой на избраните местни групи за действие</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37,00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61,67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M19.1</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232 153,69</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4,87</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4 766 442,20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M19.2</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90 163 875,60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M19.3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6 500 000,00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M19.4</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30 053 958,90</w:t>
            </w:r>
          </w:p>
        </w:tc>
      </w:tr>
    </w:tbl>
    <w:p w:rsidR="00A1205A" w:rsidRDefault="00A1205A">
      <w:pPr>
        <w:spacing w:before="60" w:after="60"/>
        <w:jc w:val="center"/>
        <w:rPr>
          <w:b/>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1"/>
        <w:gridCol w:w="2200"/>
        <w:gridCol w:w="1038"/>
        <w:gridCol w:w="1567"/>
        <w:gridCol w:w="1039"/>
        <w:gridCol w:w="1567"/>
        <w:gridCol w:w="1039"/>
        <w:gridCol w:w="1567"/>
      </w:tblGrid>
      <w:tr w:rsidR="00A1205A">
        <w:tc>
          <w:tcPr>
            <w:tcW w:w="750" w:type="pct"/>
            <w:gridSpan w:val="8"/>
            <w:tcBorders>
              <w:bottom w:val="single" w:sz="2" w:space="0" w:color="auto"/>
            </w:tcBorders>
            <w:shd w:val="clear" w:color="auto" w:fill="808080"/>
            <w:tcMar>
              <w:top w:w="20" w:type="dxa"/>
              <w:left w:w="20" w:type="dxa"/>
              <w:bottom w:w="20" w:type="dxa"/>
            </w:tcMar>
            <w:vAlign w:val="center"/>
          </w:tcPr>
          <w:p w:rsidR="00A1205A" w:rsidRDefault="009E0DC1">
            <w:pPr>
              <w:keepNext/>
              <w:spacing w:before="60" w:after="60"/>
              <w:jc w:val="center"/>
              <w:rPr>
                <w:b/>
                <w:sz w:val="20"/>
              </w:rPr>
            </w:pPr>
            <w:r>
              <w:rPr>
                <w:b/>
                <w:sz w:val="20"/>
              </w:rPr>
              <w:t>Акцентирана област 6C</w:t>
            </w:r>
          </w:p>
        </w:tc>
      </w:tr>
      <w:tr w:rsidR="00A1205A">
        <w:tc>
          <w:tcPr>
            <w:tcW w:w="2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Наименование на целевия показател</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Based on approved (when relevant)</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750" w:type="pct"/>
            <w:tcBorders>
              <w:bottom w:val="single" w:sz="2" w:space="0" w:color="auto"/>
            </w:tcBorders>
            <w:shd w:val="clear" w:color="auto" w:fill="E6E6E6"/>
            <w:tcMar>
              <w:top w:w="20" w:type="dxa"/>
              <w:left w:w="20" w:type="dxa"/>
              <w:bottom w:w="20" w:type="dxa"/>
            </w:tcMar>
            <w:vAlign w:val="center"/>
          </w:tcPr>
          <w:p w:rsidR="00A1205A" w:rsidRDefault="009E0DC1">
            <w:pPr>
              <w:keepNext/>
              <w:spacing w:before="60" w:after="60"/>
              <w:jc w:val="center"/>
              <w:rPr>
                <w:sz w:val="16"/>
              </w:rPr>
            </w:pPr>
            <w:r>
              <w:rPr>
                <w:sz w:val="16"/>
              </w:rPr>
              <w:t>Цел за 2023 г.</w:t>
            </w:r>
          </w:p>
        </w:tc>
      </w:tr>
      <w:tr w:rsidR="00A1205A">
        <w:tc>
          <w:tcPr>
            <w:tcW w:w="20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6C</w:t>
            </w:r>
          </w:p>
        </w:tc>
        <w:tc>
          <w:tcPr>
            <w:tcW w:w="10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dashSmallGap"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val="restar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1,64</w:t>
            </w:r>
          </w:p>
        </w:tc>
      </w:tr>
      <w:tr w:rsidR="00A1205A">
        <w:tc>
          <w:tcPr>
            <w:tcW w:w="20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10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lef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vMerge/>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center"/>
              <w:rPr>
                <w:sz w:val="16"/>
              </w:rPr>
            </w:pPr>
          </w:p>
        </w:tc>
      </w:tr>
      <w:tr w:rsidR="00A1205A">
        <w:tc>
          <w:tcPr>
            <w:tcW w:w="2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FA/M</w:t>
            </w:r>
          </w:p>
        </w:tc>
        <w:tc>
          <w:tcPr>
            <w:tcW w:w="105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Показател за изпълнението</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Период</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Committed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Realised</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Усвояване (%)</w:t>
            </w:r>
          </w:p>
        </w:tc>
        <w:tc>
          <w:tcPr>
            <w:tcW w:w="500" w:type="pct"/>
            <w:tcBorders>
              <w:bottom w:val="single" w:sz="2" w:space="0" w:color="auto"/>
            </w:tcBorders>
            <w:shd w:val="clear" w:color="auto" w:fill="C0C0C0"/>
            <w:tcMar>
              <w:top w:w="20" w:type="dxa"/>
              <w:left w:w="20" w:type="dxa"/>
              <w:bottom w:w="20" w:type="dxa"/>
            </w:tcMar>
            <w:vAlign w:val="center"/>
          </w:tcPr>
          <w:p w:rsidR="00A1205A" w:rsidRDefault="009E0DC1">
            <w:pPr>
              <w:keepNext/>
              <w:spacing w:before="60" w:after="60"/>
              <w:jc w:val="center"/>
              <w:rPr>
                <w:sz w:val="16"/>
              </w:rPr>
            </w:pPr>
            <w:r>
              <w:rPr>
                <w:sz w:val="16"/>
              </w:rPr>
              <w:t>Планирано за 2023 г.</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b/>
                <w:sz w:val="16"/>
              </w:rPr>
              <w:t>6C</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30 000 000,00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O1 - Общо публични разходи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30 000 000,00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M07.3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left"/>
              <w:rPr>
                <w:sz w:val="16"/>
              </w:rPr>
            </w:pPr>
            <w:r>
              <w:rPr>
                <w:sz w:val="16"/>
              </w:rPr>
              <w:t>O15 - Брой на жителите, които се ползват от подобрени услуги/инфраструктура (ИТ или други)</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keepNext/>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keepNext/>
              <w:spacing w:before="60" w:after="60"/>
              <w:jc w:val="right"/>
              <w:rPr>
                <w:sz w:val="16"/>
              </w:rPr>
            </w:pPr>
            <w:r>
              <w:rPr>
                <w:sz w:val="16"/>
              </w:rPr>
              <w:t>98 000,00</w:t>
            </w:r>
          </w:p>
        </w:tc>
      </w:tr>
      <w:tr w:rsidR="00A1205A">
        <w:tc>
          <w:tcPr>
            <w:tcW w:w="2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M07.3</w:t>
            </w:r>
          </w:p>
        </w:tc>
        <w:tc>
          <w:tcPr>
            <w:tcW w:w="10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left"/>
              <w:rPr>
                <w:sz w:val="16"/>
              </w:rPr>
            </w:pPr>
            <w:r>
              <w:rPr>
                <w:sz w:val="16"/>
              </w:rPr>
              <w:t>O3 - Брой на действията/операциите, получаващи подкрепа</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center"/>
              <w:rPr>
                <w:sz w:val="16"/>
              </w:rPr>
            </w:pPr>
            <w:r>
              <w:rPr>
                <w:sz w:val="16"/>
              </w:rPr>
              <w:t>2014-2016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500" w:type="pct"/>
            <w:tcBorders>
              <w:bottom w:val="single" w:sz="2" w:space="0" w:color="auto"/>
            </w:tcBorders>
            <w:shd w:val="clear" w:color="auto" w:fill="FFFFFF"/>
            <w:tcMar>
              <w:top w:w="20" w:type="dxa"/>
              <w:left w:w="20" w:type="dxa"/>
              <w:bottom w:w="20" w:type="dxa"/>
            </w:tcMar>
            <w:vAlign w:val="center"/>
          </w:tcPr>
          <w:p w:rsidR="00A1205A" w:rsidRDefault="00A1205A">
            <w:pPr>
              <w:spacing w:before="60" w:after="6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50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60" w:after="60"/>
              <w:jc w:val="right"/>
              <w:rPr>
                <w:sz w:val="16"/>
              </w:rPr>
            </w:pPr>
            <w:r>
              <w:rPr>
                <w:sz w:val="16"/>
              </w:rPr>
              <w:t>19,00</w:t>
            </w:r>
          </w:p>
        </w:tc>
      </w:tr>
    </w:tbl>
    <w:p w:rsidR="00A1205A" w:rsidRDefault="00A1205A">
      <w:pPr>
        <w:spacing w:before="60" w:after="60"/>
        <w:jc w:val="center"/>
        <w:rPr>
          <w:b/>
          <w:sz w:val="20"/>
        </w:rPr>
      </w:pPr>
    </w:p>
    <w:p w:rsidR="00A1205A" w:rsidRDefault="00A1205A">
      <w:pPr>
        <w:spacing w:before="60" w:after="60"/>
        <w:jc w:val="center"/>
        <w:sectPr w:rsidR="00A1205A">
          <w:pgSz w:w="12240" w:h="15840"/>
          <w:pgMar w:top="900" w:right="900" w:bottom="900" w:left="900" w:header="720" w:footer="720" w:gutter="0"/>
          <w:cols w:space="720"/>
        </w:sectPr>
      </w:pPr>
    </w:p>
    <w:p w:rsidR="00A1205A" w:rsidRDefault="009E0DC1">
      <w:pPr>
        <w:pStyle w:val="Subtitle"/>
      </w:pPr>
      <w:bookmarkStart w:id="147" w:name="_Toc256000146"/>
      <w:r>
        <w:t>Annex III</w:t>
      </w:r>
      <w:bookmarkEnd w:id="147"/>
      <w:r>
        <w:t xml:space="preserve"> </w:t>
      </w:r>
    </w:p>
    <w:p w:rsidR="00A1205A" w:rsidRDefault="009E0DC1">
      <w:r>
        <w:t>Summary table of quantified results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3"/>
        <w:gridCol w:w="1585"/>
        <w:gridCol w:w="1585"/>
        <w:gridCol w:w="1585"/>
        <w:gridCol w:w="1585"/>
        <w:gridCol w:w="1585"/>
      </w:tblGrid>
      <w:tr w:rsidR="00A1205A">
        <w:tc>
          <w:tcPr>
            <w:tcW w:w="1250" w:type="pct"/>
            <w:tcBorders>
              <w:bottom w:val="single" w:sz="2" w:space="0" w:color="auto"/>
            </w:tcBorders>
            <w:shd w:val="clear" w:color="auto" w:fill="C0C0C0"/>
            <w:tcMar>
              <w:top w:w="20" w:type="dxa"/>
              <w:left w:w="20" w:type="dxa"/>
              <w:bottom w:w="20" w:type="dxa"/>
            </w:tcMar>
            <w:vAlign w:val="bottom"/>
          </w:tcPr>
          <w:p w:rsidR="00A1205A" w:rsidRDefault="009E0DC1">
            <w:pPr>
              <w:jc w:val="center"/>
              <w:rPr>
                <w:sz w:val="16"/>
              </w:rPr>
            </w:pPr>
            <w:r>
              <w:rPr>
                <w:sz w:val="16"/>
              </w:rPr>
              <w:t>Result indicator name and unit</w:t>
            </w:r>
          </w:p>
          <w:p w:rsidR="00A1205A" w:rsidRDefault="009E0DC1">
            <w:pPr>
              <w:jc w:val="center"/>
              <w:rPr>
                <w:sz w:val="16"/>
              </w:rPr>
            </w:pPr>
            <w:r>
              <w:rPr>
                <w:sz w:val="16"/>
              </w:rPr>
              <w:t>(1)</w:t>
            </w:r>
          </w:p>
        </w:tc>
        <w:tc>
          <w:tcPr>
            <w:tcW w:w="750" w:type="pct"/>
            <w:tcBorders>
              <w:bottom w:val="single" w:sz="2" w:space="0" w:color="auto"/>
            </w:tcBorders>
            <w:shd w:val="clear" w:color="auto" w:fill="C0C0C0"/>
            <w:tcMar>
              <w:top w:w="20" w:type="dxa"/>
              <w:left w:w="20" w:type="dxa"/>
              <w:bottom w:w="20" w:type="dxa"/>
            </w:tcMar>
            <w:vAlign w:val="bottom"/>
          </w:tcPr>
          <w:p w:rsidR="00A1205A" w:rsidRDefault="009E0DC1">
            <w:pPr>
              <w:jc w:val="center"/>
              <w:rPr>
                <w:sz w:val="16"/>
              </w:rPr>
            </w:pPr>
            <w:r>
              <w:rPr>
                <w:sz w:val="16"/>
              </w:rPr>
              <w:t>Target value</w:t>
            </w:r>
          </w:p>
          <w:p w:rsidR="00A1205A" w:rsidRDefault="009E0DC1">
            <w:pPr>
              <w:jc w:val="center"/>
              <w:rPr>
                <w:sz w:val="16"/>
              </w:rPr>
            </w:pPr>
            <w:r>
              <w:rPr>
                <w:sz w:val="16"/>
              </w:rPr>
              <w:t>(2)</w:t>
            </w:r>
          </w:p>
        </w:tc>
        <w:tc>
          <w:tcPr>
            <w:tcW w:w="750" w:type="pct"/>
            <w:tcBorders>
              <w:bottom w:val="single" w:sz="2" w:space="0" w:color="auto"/>
            </w:tcBorders>
            <w:shd w:val="clear" w:color="auto" w:fill="C0C0C0"/>
            <w:tcMar>
              <w:top w:w="20" w:type="dxa"/>
              <w:left w:w="20" w:type="dxa"/>
              <w:bottom w:w="20" w:type="dxa"/>
            </w:tcMar>
            <w:vAlign w:val="bottom"/>
          </w:tcPr>
          <w:p w:rsidR="00A1205A" w:rsidRDefault="009E0DC1">
            <w:pPr>
              <w:jc w:val="center"/>
              <w:rPr>
                <w:sz w:val="16"/>
              </w:rPr>
            </w:pPr>
            <w:r>
              <w:rPr>
                <w:sz w:val="16"/>
              </w:rPr>
              <w:t>Main value</w:t>
            </w:r>
          </w:p>
          <w:p w:rsidR="00A1205A" w:rsidRDefault="009E0DC1">
            <w:pPr>
              <w:jc w:val="center"/>
              <w:rPr>
                <w:sz w:val="16"/>
              </w:rPr>
            </w:pPr>
            <w:r>
              <w:rPr>
                <w:sz w:val="16"/>
              </w:rPr>
              <w:t>(3)</w:t>
            </w:r>
          </w:p>
        </w:tc>
        <w:tc>
          <w:tcPr>
            <w:tcW w:w="750" w:type="pct"/>
            <w:tcBorders>
              <w:bottom w:val="single" w:sz="2" w:space="0" w:color="auto"/>
            </w:tcBorders>
            <w:shd w:val="clear" w:color="auto" w:fill="C0C0C0"/>
            <w:tcMar>
              <w:top w:w="20" w:type="dxa"/>
              <w:left w:w="20" w:type="dxa"/>
              <w:bottom w:w="20" w:type="dxa"/>
            </w:tcMar>
            <w:vAlign w:val="bottom"/>
          </w:tcPr>
          <w:p w:rsidR="00A1205A" w:rsidRDefault="009E0DC1">
            <w:pPr>
              <w:jc w:val="center"/>
              <w:rPr>
                <w:sz w:val="16"/>
              </w:rPr>
            </w:pPr>
            <w:r>
              <w:rPr>
                <w:sz w:val="16"/>
              </w:rPr>
              <w:t>Secondary contribution</w:t>
            </w:r>
          </w:p>
          <w:p w:rsidR="00A1205A" w:rsidRDefault="009E0DC1">
            <w:pPr>
              <w:jc w:val="center"/>
              <w:rPr>
                <w:sz w:val="16"/>
              </w:rPr>
            </w:pPr>
            <w:r>
              <w:rPr>
                <w:sz w:val="16"/>
              </w:rPr>
              <w:t>(4)</w:t>
            </w:r>
          </w:p>
        </w:tc>
        <w:tc>
          <w:tcPr>
            <w:tcW w:w="750" w:type="pct"/>
            <w:tcBorders>
              <w:bottom w:val="single" w:sz="2" w:space="0" w:color="auto"/>
            </w:tcBorders>
            <w:shd w:val="clear" w:color="auto" w:fill="C0C0C0"/>
            <w:tcMar>
              <w:top w:w="20" w:type="dxa"/>
              <w:left w:w="20" w:type="dxa"/>
              <w:bottom w:w="20" w:type="dxa"/>
            </w:tcMar>
            <w:vAlign w:val="bottom"/>
          </w:tcPr>
          <w:p w:rsidR="00A1205A" w:rsidRDefault="009E0DC1">
            <w:pPr>
              <w:jc w:val="center"/>
              <w:rPr>
                <w:sz w:val="16"/>
              </w:rPr>
            </w:pPr>
            <w:r>
              <w:rPr>
                <w:sz w:val="16"/>
              </w:rPr>
              <w:t>LEADER/CLLD contribution</w:t>
            </w:r>
          </w:p>
          <w:p w:rsidR="00A1205A" w:rsidRDefault="009E0DC1">
            <w:pPr>
              <w:jc w:val="center"/>
              <w:rPr>
                <w:sz w:val="16"/>
              </w:rPr>
            </w:pPr>
            <w:r>
              <w:rPr>
                <w:sz w:val="16"/>
              </w:rPr>
              <w:t>(5)</w:t>
            </w:r>
          </w:p>
        </w:tc>
        <w:tc>
          <w:tcPr>
            <w:tcW w:w="750" w:type="pct"/>
            <w:tcBorders>
              <w:bottom w:val="single" w:sz="2" w:space="0" w:color="auto"/>
            </w:tcBorders>
            <w:shd w:val="clear" w:color="auto" w:fill="C0C0C0"/>
            <w:tcMar>
              <w:top w:w="20" w:type="dxa"/>
              <w:left w:w="20" w:type="dxa"/>
              <w:bottom w:w="20" w:type="dxa"/>
            </w:tcMar>
            <w:vAlign w:val="bottom"/>
          </w:tcPr>
          <w:p w:rsidR="00A1205A" w:rsidRDefault="009E0DC1">
            <w:pPr>
              <w:jc w:val="center"/>
              <w:rPr>
                <w:sz w:val="16"/>
              </w:rPr>
            </w:pPr>
            <w:r>
              <w:rPr>
                <w:sz w:val="16"/>
              </w:rPr>
              <w:t>Total RDP</w:t>
            </w:r>
          </w:p>
          <w:p w:rsidR="00A1205A" w:rsidRDefault="009E0DC1">
            <w:pPr>
              <w:jc w:val="center"/>
              <w:rPr>
                <w:sz w:val="16"/>
              </w:rPr>
            </w:pPr>
            <w:r>
              <w:rPr>
                <w:sz w:val="16"/>
              </w:rPr>
              <w:t>(6)=3+4+5</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R1 / T4: процент на земеделските стопанства, получаващи подпомагане по ПРСР за инвестиции в преструктуриране или модернизация (област с поставен акцент 2A)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0,94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0,04</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Р2: промени в селскостопанската продукция на подпомогнатите стопанства/ГРЕ (годишни работни единици) (област с поставен акцент 2А)*</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R3 / T5: процент на земеделските стопанства, разполагащи с бизнес план за развитие/инвестиции за млади земеделски стопани, подпомагани по ПРСР (област с поставен акцент 2Б)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0,83</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0,01</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R4 / T6: процент на земеделските стопанства, получаващи подпомагане по схеми за качество, местни пазари и къси вериги на доставки и групи/организации на производителите (област с поставен акцент 3A)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0,12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R5 / T7: процент на стопанствата, които участват в схеми за управление на риска (област с поставен акцент 3Б)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R6 / T8: процент на гори или други залесени райони, обхванати от договори за управление в подкрепа на биологичното разнообразие (област с поставен акцент 4А)</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2,56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R7 / T9: процент на земеделската земя, обхваната от договори за управление в подкрепа на биологичното разнообразие и/или ландшафти (област с поставен акцент 4А)</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12,00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14,79</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14,79</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R8 / T10: процент на земеделската земя, обхваната от договори за управление с цел подобряване на управлението на водите (област с поставен акцент 4Б)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2,52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1,35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1,35</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R9 / T11: процент на горската земя, обхваната от договори за управление с цел подобряване на управлението на водите (област с поставен акцент 4Б)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R10 / T12: процент на земеделската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1,18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1,35</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1,35</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R11 / T13: процент на горската земя, обхваната от договори за управление с цел подобряване на управлението на почвите и/или предотвратяване на почвената ерозия (област с поставен акцент 4В)</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2,31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R12 / T14: процент на поливните площи, преминаващи към по-ефективни напоителни системи (област с поставен акцент 5А)</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49,78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Р13: по-ефективно използване на водата за селскостопански цели по проекти, подпомагани в рамките на програмата за развитие на селските райони (област с поставен акцент P5A)*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Р14: по-ефективно използване на водата за селскостопански цели и преработване на храни по проекти, подпомагани в рамките на ПРСР (област с поставен акцент P5A)*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Р15: енергия от възобновяеми източници, произвеждана по подпомаганите проекти (област с поставен акцент 5В)*</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R16 / T17: процент на ЖЕ, засегнати от инвестиции в управление на добитък с оглед намаляване на емисиите на парникови газове и/или на амоняк (област с поставен акцент 5Г)</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1,58</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R17 / T18: процент на земеделската земя, обхваната от договори за управление за намаляване на емисиите на парникови газове и/или на амоняк (област с поставен акцент 5Г)</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0,16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0,54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0,54</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Р18: намаляване на емисиите на метан и двуазотен оксид (област с поставен акцент 5Г)*</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Р19: намаляване на емисиите на амоняк (област с поставен акцент 5г)*</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R20 / T19: процент от земеделските и горските земи, обхванати от договори за управление, допринасящи за улавяне и съхранение на въглерод (област с поставен акцент 5Д)</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R21 / T20: работни места, разкрити в подпомогнатите проекти (област с поставен акцент 6А)</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4 270,00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R22 / T21: процент от населението в селските райони, обхванато от стратегии за местно развитие (област с поставен акцент 6Б)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22,91</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16,42</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16,42</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R23 / T22: процент от населението в селските райони, което се възползва от подобрените услуги/инфраструктура (област с поставен акцент 6Б)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33,36</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R24 / T23: работни места, разкрити в подпомогнатите проекти (LEADER) (област с поставен акцент 6Б)</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600,00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A1205A">
            <w:pPr>
              <w:spacing w:before="20" w:after="20"/>
              <w:jc w:val="right"/>
              <w:rPr>
                <w:sz w:val="16"/>
              </w:rPr>
            </w:pP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r w:rsidR="00A1205A">
        <w:tc>
          <w:tcPr>
            <w:tcW w:w="12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left"/>
              <w:rPr>
                <w:sz w:val="16"/>
              </w:rPr>
            </w:pPr>
            <w:r>
              <w:rPr>
                <w:sz w:val="16"/>
              </w:rPr>
              <w:t>R25 / T24: процент от населението в селските райони, което се възползва от нови или подобрени услуги/инфраструктура (ИКТ) (област с поставен акцент 6В)</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1,64</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N/A</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c>
          <w:tcPr>
            <w:tcW w:w="750" w:type="pct"/>
            <w:tcBorders>
              <w:bottom w:val="single" w:sz="2" w:space="0" w:color="auto"/>
            </w:tcBorders>
            <w:shd w:val="clear" w:color="auto" w:fill="FFFFFF"/>
            <w:tcMar>
              <w:top w:w="20" w:type="dxa"/>
              <w:left w:w="20" w:type="dxa"/>
              <w:bottom w:w="20" w:type="dxa"/>
            </w:tcMar>
            <w:vAlign w:val="center"/>
          </w:tcPr>
          <w:p w:rsidR="00A1205A" w:rsidRDefault="009E0DC1">
            <w:pPr>
              <w:spacing w:before="20" w:after="20"/>
              <w:jc w:val="right"/>
              <w:rPr>
                <w:sz w:val="16"/>
              </w:rPr>
            </w:pPr>
            <w:r>
              <w:rPr>
                <w:sz w:val="16"/>
              </w:rPr>
              <w:t>0,00</w:t>
            </w:r>
          </w:p>
        </w:tc>
      </w:tr>
    </w:tbl>
    <w:p w:rsidR="00A1205A" w:rsidRDefault="00A1205A">
      <w:pPr>
        <w:jc w:val="center"/>
        <w:rPr>
          <w:sz w:val="16"/>
        </w:rPr>
        <w:sectPr w:rsidR="00A1205A">
          <w:pgSz w:w="12240" w:h="15840"/>
          <w:pgMar w:top="900" w:right="900" w:bottom="900" w:left="900" w:header="720" w:footer="720" w:gutter="0"/>
          <w:cols w:space="720"/>
        </w:sectPr>
      </w:pPr>
    </w:p>
    <w:p w:rsidR="00A1205A" w:rsidRDefault="00A1205A">
      <w:pPr>
        <w:jc w:val="center"/>
        <w:rPr>
          <w:sz w:val="16"/>
        </w:rPr>
        <w:sectPr w:rsidR="00A1205A">
          <w:pgSz w:w="12240" w:h="15840"/>
          <w:pgMar w:top="900" w:right="900" w:bottom="900" w:left="900" w:header="720" w:footer="720" w:gutter="0"/>
          <w:cols w:space="720"/>
        </w:sectPr>
      </w:pPr>
    </w:p>
    <w:p w:rsidR="00A1205A" w:rsidRDefault="009E0DC1">
      <w:pPr>
        <w:pStyle w:val="Subtitle"/>
      </w:pPr>
      <w:bookmarkStart w:id="148" w:name="_Toc256000147"/>
      <w:r>
        <w:t>Документи</w:t>
      </w:r>
      <w:bookmarkEnd w:id="14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6"/>
        <w:gridCol w:w="1254"/>
        <w:gridCol w:w="1420"/>
        <w:gridCol w:w="1421"/>
        <w:gridCol w:w="1421"/>
        <w:gridCol w:w="1421"/>
        <w:gridCol w:w="3341"/>
        <w:gridCol w:w="1211"/>
        <w:gridCol w:w="1181"/>
      </w:tblGrid>
      <w:tr w:rsidR="00A1205A">
        <w:tc>
          <w:tcPr>
            <w:tcW w:w="750" w:type="pct"/>
            <w:shd w:val="clear" w:color="auto" w:fill="C0C0C0"/>
            <w:tcMar>
              <w:top w:w="60" w:type="dxa"/>
            </w:tcMar>
          </w:tcPr>
          <w:p w:rsidR="00A1205A" w:rsidRDefault="009E0DC1">
            <w:pPr>
              <w:jc w:val="center"/>
              <w:rPr>
                <w:b/>
                <w:sz w:val="20"/>
              </w:rPr>
            </w:pPr>
            <w:r>
              <w:rPr>
                <w:b/>
                <w:sz w:val="20"/>
              </w:rPr>
              <w:t>Заглавие на документа</w:t>
            </w:r>
          </w:p>
        </w:tc>
        <w:tc>
          <w:tcPr>
            <w:tcW w:w="750" w:type="pct"/>
            <w:shd w:val="clear" w:color="auto" w:fill="C0C0C0"/>
            <w:tcMar>
              <w:top w:w="60" w:type="dxa"/>
            </w:tcMar>
          </w:tcPr>
          <w:p w:rsidR="00A1205A" w:rsidRDefault="009E0DC1">
            <w:pPr>
              <w:jc w:val="center"/>
              <w:rPr>
                <w:b/>
                <w:sz w:val="20"/>
              </w:rPr>
            </w:pPr>
            <w:r>
              <w:rPr>
                <w:b/>
                <w:sz w:val="20"/>
              </w:rPr>
              <w:t>Вид документ</w:t>
            </w:r>
          </w:p>
        </w:tc>
        <w:tc>
          <w:tcPr>
            <w:tcW w:w="750" w:type="pct"/>
            <w:shd w:val="clear" w:color="auto" w:fill="C0C0C0"/>
            <w:tcMar>
              <w:top w:w="60" w:type="dxa"/>
            </w:tcMar>
          </w:tcPr>
          <w:p w:rsidR="00A1205A" w:rsidRDefault="009E0DC1">
            <w:pPr>
              <w:jc w:val="center"/>
              <w:rPr>
                <w:b/>
                <w:sz w:val="20"/>
              </w:rPr>
            </w:pPr>
            <w:r>
              <w:rPr>
                <w:b/>
                <w:sz w:val="20"/>
              </w:rPr>
              <w:t>Дата на документа</w:t>
            </w:r>
          </w:p>
        </w:tc>
        <w:tc>
          <w:tcPr>
            <w:tcW w:w="750" w:type="pct"/>
            <w:shd w:val="clear" w:color="auto" w:fill="C0C0C0"/>
            <w:tcMar>
              <w:top w:w="60" w:type="dxa"/>
            </w:tcMar>
          </w:tcPr>
          <w:p w:rsidR="00A1205A" w:rsidRDefault="009E0DC1">
            <w:pPr>
              <w:jc w:val="center"/>
              <w:rPr>
                <w:b/>
                <w:sz w:val="20"/>
              </w:rPr>
            </w:pPr>
            <w:r>
              <w:rPr>
                <w:b/>
                <w:sz w:val="20"/>
              </w:rPr>
              <w:t>Локален референтен номер</w:t>
            </w:r>
          </w:p>
        </w:tc>
        <w:tc>
          <w:tcPr>
            <w:tcW w:w="750" w:type="pct"/>
            <w:shd w:val="clear" w:color="auto" w:fill="C0C0C0"/>
            <w:tcMar>
              <w:top w:w="60" w:type="dxa"/>
            </w:tcMar>
          </w:tcPr>
          <w:p w:rsidR="00A1205A" w:rsidRDefault="009E0DC1">
            <w:pPr>
              <w:jc w:val="center"/>
              <w:rPr>
                <w:b/>
                <w:sz w:val="20"/>
              </w:rPr>
            </w:pPr>
            <w:r>
              <w:rPr>
                <w:b/>
                <w:sz w:val="20"/>
              </w:rPr>
              <w:t>Референтен номер на Комисията</w:t>
            </w:r>
          </w:p>
        </w:tc>
        <w:tc>
          <w:tcPr>
            <w:tcW w:w="750" w:type="pct"/>
            <w:shd w:val="clear" w:color="auto" w:fill="C0C0C0"/>
            <w:tcMar>
              <w:top w:w="60" w:type="dxa"/>
            </w:tcMar>
          </w:tcPr>
          <w:p w:rsidR="00A1205A" w:rsidRDefault="009E0DC1">
            <w:pPr>
              <w:jc w:val="center"/>
              <w:rPr>
                <w:b/>
                <w:sz w:val="20"/>
              </w:rPr>
            </w:pPr>
            <w:r>
              <w:rPr>
                <w:b/>
                <w:sz w:val="20"/>
              </w:rPr>
              <w:t>Контролна сума</w:t>
            </w:r>
          </w:p>
        </w:tc>
        <w:tc>
          <w:tcPr>
            <w:tcW w:w="750" w:type="pct"/>
            <w:shd w:val="clear" w:color="auto" w:fill="C0C0C0"/>
            <w:tcMar>
              <w:top w:w="60" w:type="dxa"/>
            </w:tcMar>
          </w:tcPr>
          <w:p w:rsidR="00A1205A" w:rsidRDefault="009E0DC1">
            <w:pPr>
              <w:jc w:val="center"/>
              <w:rPr>
                <w:b/>
                <w:sz w:val="20"/>
              </w:rPr>
            </w:pPr>
            <w:r>
              <w:rPr>
                <w:b/>
                <w:sz w:val="20"/>
              </w:rPr>
              <w:t>Файлове</w:t>
            </w:r>
          </w:p>
        </w:tc>
        <w:tc>
          <w:tcPr>
            <w:tcW w:w="750" w:type="pct"/>
            <w:shd w:val="clear" w:color="auto" w:fill="C0C0C0"/>
            <w:tcMar>
              <w:top w:w="60" w:type="dxa"/>
            </w:tcMar>
          </w:tcPr>
          <w:p w:rsidR="00A1205A" w:rsidRDefault="009E0DC1">
            <w:pPr>
              <w:jc w:val="center"/>
              <w:rPr>
                <w:b/>
                <w:sz w:val="20"/>
              </w:rPr>
            </w:pPr>
            <w:r>
              <w:rPr>
                <w:b/>
                <w:sz w:val="20"/>
              </w:rPr>
              <w:t>Дата на изпращане</w:t>
            </w:r>
          </w:p>
        </w:tc>
        <w:tc>
          <w:tcPr>
            <w:tcW w:w="750" w:type="pct"/>
            <w:shd w:val="clear" w:color="auto" w:fill="C0C0C0"/>
            <w:tcMar>
              <w:top w:w="60" w:type="dxa"/>
            </w:tcMar>
          </w:tcPr>
          <w:p w:rsidR="00A1205A" w:rsidRDefault="009E0DC1">
            <w:pPr>
              <w:jc w:val="center"/>
              <w:rPr>
                <w:sz w:val="20"/>
              </w:rPr>
            </w:pPr>
            <w:r>
              <w:rPr>
                <w:b/>
                <w:sz w:val="20"/>
              </w:rPr>
              <w:t>Изпратено от</w:t>
            </w:r>
          </w:p>
        </w:tc>
      </w:tr>
      <w:tr w:rsidR="00A1205A">
        <w:tc>
          <w:tcPr>
            <w:tcW w:w="750" w:type="pct"/>
            <w:shd w:val="clear" w:color="auto" w:fill="FFFFFF"/>
            <w:tcMar>
              <w:top w:w="60" w:type="dxa"/>
            </w:tcMar>
          </w:tcPr>
          <w:p w:rsidR="00A1205A" w:rsidRDefault="009E0DC1">
            <w:pPr>
              <w:jc w:val="left"/>
              <w:rPr>
                <w:sz w:val="16"/>
              </w:rPr>
            </w:pPr>
            <w:r>
              <w:rPr>
                <w:sz w:val="16"/>
              </w:rPr>
              <w:t>AIR Financial Annex 2014BG06RDNP001</w:t>
            </w:r>
          </w:p>
        </w:tc>
        <w:tc>
          <w:tcPr>
            <w:tcW w:w="750" w:type="pct"/>
            <w:shd w:val="clear" w:color="auto" w:fill="FFFFFF"/>
            <w:tcMar>
              <w:top w:w="60" w:type="dxa"/>
            </w:tcMar>
          </w:tcPr>
          <w:p w:rsidR="00A1205A" w:rsidRDefault="009E0DC1">
            <w:pPr>
              <w:jc w:val="left"/>
              <w:rPr>
                <w:sz w:val="16"/>
              </w:rPr>
            </w:pPr>
            <w:r>
              <w:rPr>
                <w:sz w:val="16"/>
              </w:rPr>
              <w:t>Финансово приложение (системно)</w:t>
            </w:r>
          </w:p>
        </w:tc>
        <w:tc>
          <w:tcPr>
            <w:tcW w:w="750" w:type="pct"/>
            <w:shd w:val="clear" w:color="auto" w:fill="FFFFFF"/>
            <w:tcMar>
              <w:top w:w="60" w:type="dxa"/>
            </w:tcMar>
          </w:tcPr>
          <w:p w:rsidR="00A1205A" w:rsidRDefault="009E0DC1">
            <w:pPr>
              <w:jc w:val="left"/>
              <w:rPr>
                <w:sz w:val="16"/>
              </w:rPr>
            </w:pPr>
            <w:r>
              <w:rPr>
                <w:sz w:val="16"/>
              </w:rPr>
              <w:t>27-06-2017</w:t>
            </w: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9E0DC1">
            <w:pPr>
              <w:jc w:val="left"/>
              <w:rPr>
                <w:sz w:val="16"/>
              </w:rPr>
            </w:pPr>
            <w:r>
              <w:rPr>
                <w:sz w:val="16"/>
              </w:rPr>
              <w:t>1024736557</w:t>
            </w:r>
          </w:p>
        </w:tc>
        <w:tc>
          <w:tcPr>
            <w:tcW w:w="750" w:type="pct"/>
            <w:shd w:val="clear" w:color="auto" w:fill="FFFFFF"/>
            <w:tcMar>
              <w:top w:w="60" w:type="dxa"/>
            </w:tcMar>
          </w:tcPr>
          <w:p w:rsidR="00A1205A" w:rsidRDefault="009E0DC1">
            <w:pPr>
              <w:jc w:val="left"/>
              <w:rPr>
                <w:sz w:val="16"/>
              </w:rPr>
            </w:pPr>
            <w:r>
              <w:rPr>
                <w:sz w:val="16"/>
              </w:rPr>
              <w:t>AIRfinancialAnnex2014BG06RDNP001_bg.pdf</w:t>
            </w: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A1205A">
            <w:pPr>
              <w:jc w:val="left"/>
              <w:rPr>
                <w:sz w:val="16"/>
              </w:rPr>
            </w:pPr>
          </w:p>
        </w:tc>
      </w:tr>
      <w:tr w:rsidR="00A1205A">
        <w:tc>
          <w:tcPr>
            <w:tcW w:w="750" w:type="pct"/>
            <w:shd w:val="clear" w:color="auto" w:fill="FFFFFF"/>
            <w:tcMar>
              <w:top w:w="60" w:type="dxa"/>
            </w:tcMar>
          </w:tcPr>
          <w:p w:rsidR="00A1205A" w:rsidRDefault="009E0DC1">
            <w:pPr>
              <w:jc w:val="left"/>
              <w:rPr>
                <w:sz w:val="16"/>
              </w:rPr>
            </w:pPr>
            <w:r>
              <w:rPr>
                <w:sz w:val="16"/>
              </w:rPr>
              <w:t>Резюме за гражданите 2016</w:t>
            </w:r>
          </w:p>
        </w:tc>
        <w:tc>
          <w:tcPr>
            <w:tcW w:w="750" w:type="pct"/>
            <w:shd w:val="clear" w:color="auto" w:fill="FFFFFF"/>
            <w:tcMar>
              <w:top w:w="60" w:type="dxa"/>
            </w:tcMar>
          </w:tcPr>
          <w:p w:rsidR="00A1205A" w:rsidRDefault="009E0DC1">
            <w:pPr>
              <w:jc w:val="left"/>
              <w:rPr>
                <w:sz w:val="16"/>
              </w:rPr>
            </w:pPr>
            <w:r>
              <w:rPr>
                <w:sz w:val="16"/>
              </w:rPr>
              <w:t>Резюме за гражданите</w:t>
            </w:r>
          </w:p>
        </w:tc>
        <w:tc>
          <w:tcPr>
            <w:tcW w:w="750" w:type="pct"/>
            <w:shd w:val="clear" w:color="auto" w:fill="FFFFFF"/>
            <w:tcMar>
              <w:top w:w="60" w:type="dxa"/>
            </w:tcMar>
          </w:tcPr>
          <w:p w:rsidR="00A1205A" w:rsidRDefault="009E0DC1">
            <w:pPr>
              <w:jc w:val="left"/>
              <w:rPr>
                <w:sz w:val="16"/>
              </w:rPr>
            </w:pPr>
            <w:r>
              <w:rPr>
                <w:sz w:val="16"/>
              </w:rPr>
              <w:t>27-06-2017</w:t>
            </w: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9E0DC1">
            <w:pPr>
              <w:jc w:val="left"/>
              <w:rPr>
                <w:sz w:val="16"/>
              </w:rPr>
            </w:pPr>
            <w:r>
              <w:rPr>
                <w:sz w:val="16"/>
              </w:rPr>
              <w:t>674375280</w:t>
            </w:r>
          </w:p>
        </w:tc>
        <w:tc>
          <w:tcPr>
            <w:tcW w:w="750" w:type="pct"/>
            <w:shd w:val="clear" w:color="auto" w:fill="FFFFFF"/>
            <w:tcMar>
              <w:top w:w="60" w:type="dxa"/>
            </w:tcMar>
          </w:tcPr>
          <w:p w:rsidR="00A1205A" w:rsidRDefault="009E0DC1">
            <w:pPr>
              <w:jc w:val="left"/>
              <w:rPr>
                <w:sz w:val="16"/>
              </w:rPr>
            </w:pPr>
            <w:r>
              <w:rPr>
                <w:sz w:val="16"/>
              </w:rPr>
              <w:t>Резюме за гражданите 2016</w:t>
            </w: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A1205A">
            <w:pPr>
              <w:jc w:val="left"/>
              <w:rPr>
                <w:sz w:val="16"/>
              </w:rPr>
            </w:pPr>
          </w:p>
        </w:tc>
      </w:tr>
      <w:tr w:rsidR="00A1205A">
        <w:tc>
          <w:tcPr>
            <w:tcW w:w="750" w:type="pct"/>
            <w:shd w:val="clear" w:color="auto" w:fill="FFFFFF"/>
            <w:tcMar>
              <w:top w:w="60" w:type="dxa"/>
            </w:tcMar>
          </w:tcPr>
          <w:p w:rsidR="00A1205A" w:rsidRDefault="009E0DC1">
            <w:pPr>
              <w:jc w:val="left"/>
              <w:rPr>
                <w:sz w:val="16"/>
              </w:rPr>
            </w:pPr>
            <w:r>
              <w:rPr>
                <w:sz w:val="16"/>
              </w:rPr>
              <w:t>Придружително писмо към годишен доклад</w:t>
            </w:r>
          </w:p>
        </w:tc>
        <w:tc>
          <w:tcPr>
            <w:tcW w:w="750" w:type="pct"/>
            <w:shd w:val="clear" w:color="auto" w:fill="FFFFFF"/>
            <w:tcMar>
              <w:top w:w="60" w:type="dxa"/>
            </w:tcMar>
          </w:tcPr>
          <w:p w:rsidR="00A1205A" w:rsidRDefault="009E0DC1">
            <w:pPr>
              <w:jc w:val="left"/>
              <w:rPr>
                <w:sz w:val="16"/>
              </w:rPr>
            </w:pPr>
            <w:r>
              <w:rPr>
                <w:sz w:val="16"/>
              </w:rPr>
              <w:t>Друго приложение</w:t>
            </w:r>
          </w:p>
        </w:tc>
        <w:tc>
          <w:tcPr>
            <w:tcW w:w="750" w:type="pct"/>
            <w:shd w:val="clear" w:color="auto" w:fill="FFFFFF"/>
            <w:tcMar>
              <w:top w:w="60" w:type="dxa"/>
            </w:tcMar>
          </w:tcPr>
          <w:p w:rsidR="00A1205A" w:rsidRDefault="009E0DC1">
            <w:pPr>
              <w:jc w:val="left"/>
              <w:rPr>
                <w:sz w:val="16"/>
              </w:rPr>
            </w:pPr>
            <w:r>
              <w:rPr>
                <w:sz w:val="16"/>
              </w:rPr>
              <w:t>29-06-2017</w:t>
            </w: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9E0DC1">
            <w:pPr>
              <w:jc w:val="left"/>
              <w:rPr>
                <w:sz w:val="16"/>
              </w:rPr>
            </w:pPr>
            <w:r>
              <w:rPr>
                <w:sz w:val="16"/>
              </w:rPr>
              <w:t>2392869314</w:t>
            </w:r>
          </w:p>
        </w:tc>
        <w:tc>
          <w:tcPr>
            <w:tcW w:w="750" w:type="pct"/>
            <w:shd w:val="clear" w:color="auto" w:fill="FFFFFF"/>
            <w:tcMar>
              <w:top w:w="60" w:type="dxa"/>
            </w:tcMar>
          </w:tcPr>
          <w:p w:rsidR="00A1205A" w:rsidRDefault="009E0DC1">
            <w:pPr>
              <w:jc w:val="left"/>
              <w:rPr>
                <w:sz w:val="16"/>
              </w:rPr>
            </w:pPr>
            <w:r>
              <w:rPr>
                <w:sz w:val="16"/>
              </w:rPr>
              <w:t>Придружително писмо</w:t>
            </w:r>
          </w:p>
        </w:tc>
        <w:tc>
          <w:tcPr>
            <w:tcW w:w="750" w:type="pct"/>
            <w:shd w:val="clear" w:color="auto" w:fill="FFFFFF"/>
            <w:tcMar>
              <w:top w:w="60" w:type="dxa"/>
            </w:tcMar>
          </w:tcPr>
          <w:p w:rsidR="00A1205A" w:rsidRDefault="00A1205A">
            <w:pPr>
              <w:jc w:val="left"/>
              <w:rPr>
                <w:sz w:val="16"/>
              </w:rPr>
            </w:pPr>
          </w:p>
        </w:tc>
        <w:tc>
          <w:tcPr>
            <w:tcW w:w="750" w:type="pct"/>
            <w:shd w:val="clear" w:color="auto" w:fill="FFFFFF"/>
            <w:tcMar>
              <w:top w:w="60" w:type="dxa"/>
            </w:tcMar>
          </w:tcPr>
          <w:p w:rsidR="00A1205A" w:rsidRDefault="00A1205A">
            <w:pPr>
              <w:jc w:val="left"/>
              <w:rPr>
                <w:sz w:val="16"/>
              </w:rPr>
            </w:pPr>
          </w:p>
        </w:tc>
      </w:tr>
    </w:tbl>
    <w:p w:rsidR="00A1205A" w:rsidRDefault="00A1205A">
      <w:pPr>
        <w:rPr>
          <w:b/>
        </w:rPr>
        <w:sectPr w:rsidR="00A1205A">
          <w:pgSz w:w="15840" w:h="12240" w:orient="landscape"/>
          <w:pgMar w:top="900" w:right="900" w:bottom="900" w:left="900" w:header="720" w:footer="720" w:gutter="0"/>
          <w:cols w:space="720"/>
        </w:sectPr>
      </w:pPr>
    </w:p>
    <w:p w:rsidR="00A1205A" w:rsidRDefault="00A1205A">
      <w:pPr>
        <w:rPr>
          <w:b/>
        </w:rPr>
      </w:pPr>
    </w:p>
    <w:sectPr w:rsidR="00A1205A">
      <w:pgSz w:w="15840" w:h="12240" w:orient="landscape"/>
      <w:pgMar w:top="900" w:right="900" w:bottom="900" w:left="900" w:header="720" w:footer="72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F67B9" w:rsidRDefault="006F67B9">
      <w:pPr>
        <w:spacing w:before="0" w:after="0"/>
      </w:pPr>
      <w:r>
        <w:separator/>
      </w:r>
    </w:p>
  </w:endnote>
  <w:endnote w:type="continuationSeparator" w:id="0">
    <w:p w:rsidR="006F67B9" w:rsidRDefault="006F67B9">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embedRegular r:id="rId1" w:fontKey="{A9B8DAA6-B72D-4A64-969F-C3728E62A9EE}"/>
  </w:font>
  <w:font w:name="Times New Roman">
    <w:panose1 w:val="02020603050405020304"/>
    <w:charset w:val="CC"/>
    <w:family w:val="roman"/>
    <w:pitch w:val="variable"/>
    <w:sig w:usb0="E0002AFF" w:usb1="C0007841" w:usb2="00000009" w:usb3="00000000" w:csb0="000001FF" w:csb1="00000000"/>
    <w:embedRegular r:id="rId2" w:fontKey="{84622FCD-AB2F-4C43-93C5-6E9F22E33A2F}"/>
    <w:embedBold r:id="rId3" w:fontKey="{905D346E-F51A-42E9-80D3-69B1C018E250}"/>
    <w:embedItalic r:id="rId4" w:fontKey="{A806178C-4AC7-478F-9B7D-167AA65ACE4E}"/>
    <w:embedBoldItalic r:id="rId5" w:fontKey="{AB442E2F-EC03-4034-8DF0-E5673BC28A1F}"/>
  </w:font>
  <w:font w:name="Courier New">
    <w:panose1 w:val="02070309020205020404"/>
    <w:charset w:val="CC"/>
    <w:family w:val="modern"/>
    <w:pitch w:val="fixed"/>
    <w:sig w:usb0="E0002AFF" w:usb1="C0007843" w:usb2="00000009" w:usb3="00000000" w:csb0="000001FF" w:csb1="00000000"/>
    <w:embedRegular r:id="rId6" w:fontKey="{65BB302B-B412-49BA-95FA-9EAC1A5AFBAD}"/>
  </w:font>
  <w:font w:name="Wingdings">
    <w:panose1 w:val="05000000000000000000"/>
    <w:charset w:val="02"/>
    <w:family w:val="auto"/>
    <w:pitch w:val="variable"/>
    <w:sig w:usb0="00000000" w:usb1="10000000" w:usb2="00000000" w:usb3="00000000" w:csb0="80000000" w:csb1="00000000"/>
    <w:embedRegular r:id="rId7" w:fontKey="{CCF653DD-1CBB-49C4-9B72-AAACF2A48156}"/>
  </w:font>
  <w:font w:name="Arial">
    <w:panose1 w:val="020B0604020202020204"/>
    <w:charset w:val="CC"/>
    <w:family w:val="swiss"/>
    <w:pitch w:val="variable"/>
    <w:sig w:usb0="E0002AFF" w:usb1="C0007843" w:usb2="00000009" w:usb3="00000000" w:csb0="000001FF" w:csb1="00000000"/>
    <w:embedRegular r:id="rId8" w:fontKey="{4DC241FB-6B50-44CE-9B3D-A0CD2D38CA63}"/>
    <w:embedBold r:id="rId9" w:fontKey="{AA6F16A4-9540-43DA-92D3-D6B8F0C625AC}"/>
    <w:embedItalic r:id="rId10" w:fontKey="{409C07E5-A230-4537-B6F7-C086844287F8}"/>
  </w:font>
  <w:font w:name="Calibri">
    <w:panose1 w:val="020F0502020204030204"/>
    <w:charset w:val="CC"/>
    <w:family w:val="swiss"/>
    <w:pitch w:val="variable"/>
    <w:sig w:usb0="E00002FF" w:usb1="4000ACFF" w:usb2="00000001" w:usb3="00000000" w:csb0="0000019F" w:csb1="00000000"/>
    <w:embedRegular r:id="rId11" w:fontKey="{89212CE4-D795-441E-B6F2-72D29EF9D525}"/>
    <w:embedBold r:id="rId12" w:fontKey="{A555C594-056B-4B48-9BF0-D30573BF1CBD}"/>
  </w:font>
  <w:font w:name="Tahoma">
    <w:panose1 w:val="020B0604030504040204"/>
    <w:charset w:val="CC"/>
    <w:family w:val="swiss"/>
    <w:pitch w:val="variable"/>
    <w:sig w:usb0="E1002EFF" w:usb1="C000605B" w:usb2="00000029" w:usb3="00000000" w:csb0="000101FF" w:csb1="00000000"/>
    <w:embedRegular r:id="rId13" w:fontKey="{A4F491AB-AF4C-4FFE-A9CF-4F870776AA47}"/>
  </w:font>
  <w:font w:name="Cambria">
    <w:panose1 w:val="02040503050406030204"/>
    <w:charset w:val="CC"/>
    <w:family w:val="roman"/>
    <w:pitch w:val="variable"/>
    <w:sig w:usb0="E00002FF" w:usb1="400004FF" w:usb2="00000000" w:usb3="00000000" w:csb0="0000019F" w:csb1="00000000"/>
    <w:embedRegular r:id="rId14" w:fontKey="{7A5DF93B-FC03-4672-8105-8864139FE677}"/>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Default="009E0DC1">
    <w:pPr>
      <w:pStyle w:val="Footer"/>
      <w:jc w:val="center"/>
    </w:pPr>
    <w:r>
      <w:fldChar w:fldCharType="begin"/>
    </w:r>
    <w:r>
      <w:instrText>PAGE</w:instrText>
    </w:r>
    <w:r>
      <w:fldChar w:fldCharType="separate"/>
    </w:r>
    <w:r w:rsidR="008F1982">
      <w:rPr>
        <w:noProof/>
      </w:rPr>
      <w:t>1</w:t>
    </w:r>
    <w:r>
      <w:fldChar w:fldCharType="end"/>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Default="009E0DC1">
    <w:pPr>
      <w:pStyle w:val="Footer"/>
      <w:jc w:val="center"/>
    </w:pPr>
    <w:r>
      <w:fldChar w:fldCharType="begin"/>
    </w:r>
    <w:r>
      <w:instrText xml:space="preserve"> PAGE   \* MERGEFORMAT </w:instrText>
    </w:r>
    <w:r>
      <w:fldChar w:fldCharType="separate"/>
    </w:r>
    <w:r>
      <w:rPr>
        <w:noProof/>
      </w:rPr>
      <w:t>1</w:t>
    </w:r>
    <w:r>
      <w:rPr>
        <w:noProof/>
      </w:rPr>
      <w:fldChar w:fldCharType="end"/>
    </w:r>
  </w:p>
  <w:p w:rsidR="00B21E0A" w:rsidRDefault="006F67B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F67B9" w:rsidRDefault="006F67B9">
      <w:pPr>
        <w:spacing w:before="0" w:after="0"/>
      </w:pPr>
      <w:r>
        <w:separator/>
      </w:r>
    </w:p>
  </w:footnote>
  <w:footnote w:type="continuationSeparator" w:id="0">
    <w:p w:rsidR="006F67B9" w:rsidRDefault="006F67B9">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1E0A" w:rsidRPr="004551CD" w:rsidRDefault="006F67B9">
    <w:pPr>
      <w:pStyle w:val="Header"/>
      <w:spacing w:after="0"/>
      <w:rPr>
        <w:lang w:val="fr-BE"/>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EA58E78E"/>
    <w:lvl w:ilvl="0">
      <w:start w:val="1"/>
      <w:numFmt w:val="decimal"/>
      <w:pStyle w:val="ListNumber5"/>
      <w:lvlText w:val="%1."/>
      <w:lvlJc w:val="left"/>
      <w:pPr>
        <w:tabs>
          <w:tab w:val="num" w:pos="1492"/>
        </w:tabs>
        <w:ind w:left="1492" w:hanging="360"/>
      </w:pPr>
    </w:lvl>
  </w:abstractNum>
  <w:abstractNum w:abstractNumId="1">
    <w:nsid w:val="FFFFFF80"/>
    <w:multiLevelType w:val="singleLevel"/>
    <w:tmpl w:val="E7A64A6A"/>
    <w:lvl w:ilvl="0">
      <w:start w:val="1"/>
      <w:numFmt w:val="bullet"/>
      <w:pStyle w:val="ListBullet5"/>
      <w:lvlText w:val=""/>
      <w:lvlJc w:val="left"/>
      <w:pPr>
        <w:tabs>
          <w:tab w:val="num" w:pos="1492"/>
        </w:tabs>
        <w:ind w:left="1492" w:hanging="360"/>
      </w:pPr>
      <w:rPr>
        <w:rFonts w:ascii="Symbol" w:hAnsi="Symbol" w:hint="default"/>
      </w:rPr>
    </w:lvl>
  </w:abstractNum>
  <w:abstractNum w:abstractNumId="2">
    <w:nsid w:val="1B1530A4"/>
    <w:multiLevelType w:val="multilevel"/>
    <w:tmpl w:val="8CE23BCC"/>
    <w:lvl w:ilvl="0">
      <w:start w:val="1"/>
      <w:numFmt w:val="decimal"/>
      <w:pStyle w:val="ListNumber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
    <w:nsid w:val="1C7B624F"/>
    <w:multiLevelType w:val="singleLevel"/>
    <w:tmpl w:val="55144760"/>
    <w:name w:val="ListDash 1222"/>
    <w:lvl w:ilvl="0">
      <w:start w:val="1"/>
      <w:numFmt w:val="bullet"/>
      <w:lvlText w:val="-"/>
      <w:lvlJc w:val="left"/>
      <w:pPr>
        <w:tabs>
          <w:tab w:val="num" w:pos="283"/>
        </w:tabs>
        <w:ind w:left="283" w:hanging="283"/>
      </w:pPr>
      <w:rPr>
        <w:rFonts w:ascii="Symbol" w:hAnsi="Symbol" w:cs="Times New Roman" w:hint="default"/>
      </w:rPr>
    </w:lvl>
  </w:abstractNum>
  <w:abstractNum w:abstractNumId="4">
    <w:nsid w:val="22DD3599"/>
    <w:multiLevelType w:val="multilevel"/>
    <w:tmpl w:val="4EAA5BA6"/>
    <w:lvl w:ilvl="0">
      <w:start w:val="1"/>
      <w:numFmt w:val="decimal"/>
      <w:pStyle w:val="ListNumber"/>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6">
    <w:nsid w:val="2CAB4527"/>
    <w:multiLevelType w:val="multilevel"/>
    <w:tmpl w:val="26C24C12"/>
    <w:lvl w:ilvl="0">
      <w:start w:val="1"/>
      <w:numFmt w:val="decimal"/>
      <w:pStyle w:val="ListNumber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8">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9">
    <w:nsid w:val="36324F1E"/>
    <w:multiLevelType w:val="singleLevel"/>
    <w:tmpl w:val="E7764108"/>
    <w:name w:val="List Dash 1222"/>
    <w:lvl w:ilvl="0">
      <w:start w:val="1"/>
      <w:numFmt w:val="bullet"/>
      <w:lvlText w:val="-"/>
      <w:lvlJc w:val="left"/>
      <w:pPr>
        <w:tabs>
          <w:tab w:val="num" w:pos="283"/>
        </w:tabs>
        <w:ind w:left="283" w:hanging="283"/>
      </w:pPr>
      <w:rPr>
        <w:rFonts w:ascii="Symbol" w:hAnsi="Symbol" w:cs="Times New Roman" w:hint="default"/>
      </w:rPr>
    </w:lvl>
  </w:abstractNum>
  <w:abstractNum w:abstractNumId="10">
    <w:nsid w:val="37CB1E1C"/>
    <w:multiLevelType w:val="singleLevel"/>
    <w:tmpl w:val="628C12D0"/>
    <w:name w:val="List Dash 1223"/>
    <w:lvl w:ilvl="0">
      <w:start w:val="1"/>
      <w:numFmt w:val="bullet"/>
      <w:lvlText w:val="-"/>
      <w:lvlJc w:val="left"/>
      <w:pPr>
        <w:tabs>
          <w:tab w:val="num" w:pos="283"/>
        </w:tabs>
        <w:ind w:left="283" w:hanging="283"/>
      </w:pPr>
      <w:rPr>
        <w:rFonts w:ascii="Symbol" w:hAnsi="Symbol" w:cs="Times New Roman" w:hint="default"/>
      </w:rPr>
    </w:lvl>
  </w:abstractNum>
  <w:abstractNum w:abstractNumId="11">
    <w:nsid w:val="3AFB6DC8"/>
    <w:multiLevelType w:val="singleLevel"/>
    <w:tmpl w:val="D97CFDF8"/>
    <w:lvl w:ilvl="0">
      <w:start w:val="1"/>
      <w:numFmt w:val="bullet"/>
      <w:pStyle w:val="ListBullet2"/>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53436603"/>
    <w:multiLevelType w:val="multilevel"/>
    <w:tmpl w:val="C23052C8"/>
    <w:lvl w:ilvl="0">
      <w:start w:val="1"/>
      <w:numFmt w:val="decimal"/>
      <w:pStyle w:val="Heading1"/>
      <w:suff w:val="space"/>
      <w:lvlText w:val="%1."/>
      <w:lvlJc w:val="left"/>
      <w:pPr>
        <w:ind w:left="0" w:firstLine="0"/>
      </w:pPr>
      <w:rPr>
        <w:rFonts w:hint="default"/>
      </w:rPr>
    </w:lvl>
    <w:lvl w:ilvl="1">
      <w:start w:val="1"/>
      <w:numFmt w:val="lowerLetter"/>
      <w:pStyle w:val="Heading2"/>
      <w:suff w:val="space"/>
      <w:lvlText w:val="%1.%2)"/>
      <w:lvlJc w:val="left"/>
      <w:pPr>
        <w:ind w:left="993" w:firstLine="0"/>
      </w:pPr>
      <w:rPr>
        <w:rFonts w:hint="default"/>
      </w:rPr>
    </w:lvl>
    <w:lvl w:ilvl="2">
      <w:start w:val="1"/>
      <w:numFmt w:val="decimal"/>
      <w:pStyle w:val="Heading3"/>
      <w:suff w:val="space"/>
      <w:lvlText w:val="%1.%2%3)"/>
      <w:lvlJc w:val="left"/>
      <w:pPr>
        <w:ind w:left="0" w:firstLine="0"/>
      </w:pPr>
      <w:rPr>
        <w:rFonts w:hint="default"/>
        <w:color w:val="auto"/>
      </w:rPr>
    </w:lvl>
    <w:lvl w:ilvl="3">
      <w:start w:val="1"/>
      <w:numFmt w:val="lowerLetter"/>
      <w:pStyle w:val="Heading4"/>
      <w:suff w:val="space"/>
      <w:lvlText w:val="%1.%2%3.%4)"/>
      <w:lvlJc w:val="left"/>
      <w:pPr>
        <w:ind w:left="0" w:firstLine="0"/>
      </w:pPr>
      <w:rPr>
        <w:rFonts w:hint="default"/>
      </w:rPr>
    </w:lvl>
    <w:lvl w:ilvl="4">
      <w:start w:val="1"/>
      <w:numFmt w:val="decimal"/>
      <w:pStyle w:val="Heading5"/>
      <w:suff w:val="space"/>
      <w:lvlText w:val="%1.%2%3.%4%5)"/>
      <w:lvlJc w:val="left"/>
      <w:pPr>
        <w:ind w:left="0" w:firstLine="0"/>
      </w:pPr>
      <w:rPr>
        <w:rFonts w:hint="default"/>
      </w:rPr>
    </w:lvl>
    <w:lvl w:ilvl="5">
      <w:start w:val="1"/>
      <w:numFmt w:val="lowerLetter"/>
      <w:pStyle w:val="Heading6"/>
      <w:suff w:val="space"/>
      <w:lvlText w:val="%1.%2%3.%4%5.%6)"/>
      <w:lvlJc w:val="left"/>
      <w:pPr>
        <w:ind w:left="0" w:firstLine="0"/>
      </w:pPr>
      <w:rPr>
        <w:rFonts w:hint="default"/>
      </w:rPr>
    </w:lvl>
    <w:lvl w:ilvl="6">
      <w:start w:val="1"/>
      <w:numFmt w:val="decimal"/>
      <w:pStyle w:val="Heading7"/>
      <w:suff w:val="space"/>
      <w:lvlText w:val="%1.%2.%3.%4.%5.%6.%7."/>
      <w:lvlJc w:val="left"/>
      <w:pPr>
        <w:ind w:left="0" w:firstLine="0"/>
      </w:pPr>
      <w:rPr>
        <w:rFonts w:hint="default"/>
      </w:rPr>
    </w:lvl>
    <w:lvl w:ilvl="7">
      <w:start w:val="1"/>
      <w:numFmt w:val="lowerLetter"/>
      <w:pStyle w:val="Heading8"/>
      <w:suff w:val="space"/>
      <w:lvlText w:val="%1.%2.%3.%4.%5.%6.%7.%8."/>
      <w:lvlJc w:val="left"/>
      <w:pPr>
        <w:ind w:left="0" w:firstLine="0"/>
      </w:pPr>
      <w:rPr>
        <w:rFonts w:hint="default"/>
      </w:rPr>
    </w:lvl>
    <w:lvl w:ilvl="8">
      <w:start w:val="1"/>
      <w:numFmt w:val="decimal"/>
      <w:pStyle w:val="Heading9"/>
      <w:suff w:val="space"/>
      <w:lvlText w:val="%1.%2.%3.%4.%5.%6.%7.%8.%9."/>
      <w:lvlJc w:val="left"/>
      <w:pPr>
        <w:ind w:left="0" w:firstLine="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594894"/>
    <w:multiLevelType w:val="multilevel"/>
    <w:tmpl w:val="A09AD310"/>
    <w:styleLink w:val="Headings"/>
    <w:lvl w:ilvl="0">
      <w:start w:val="1"/>
      <w:numFmt w:val="decimal"/>
      <w:suff w:val="space"/>
      <w:lvlText w:val="%1."/>
      <w:lvlJc w:val="left"/>
      <w:pPr>
        <w:ind w:left="0" w:firstLine="0"/>
      </w:pPr>
      <w:rPr>
        <w:rFonts w:hint="default"/>
      </w:rPr>
    </w:lvl>
    <w:lvl w:ilvl="1">
      <w:start w:val="1"/>
      <w:numFmt w:val="decimal"/>
      <w:suff w:val="space"/>
      <w:lvlText w:val="%1.%2."/>
      <w:lvlJc w:val="left"/>
      <w:pPr>
        <w:ind w:left="993" w:firstLine="0"/>
      </w:pPr>
      <w:rPr>
        <w:rFonts w:hint="default"/>
      </w:rPr>
    </w:lvl>
    <w:lvl w:ilvl="2">
      <w:start w:val="1"/>
      <w:numFmt w:val="decimal"/>
      <w:suff w:val="space"/>
      <w:lvlText w:val="%1.%2.%3."/>
      <w:lvlJc w:val="left"/>
      <w:pPr>
        <w:ind w:left="0" w:firstLine="0"/>
      </w:pPr>
      <w:rPr>
        <w:rFonts w:hint="default"/>
        <w:color w:val="auto"/>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17">
    <w:nsid w:val="5E0D6286"/>
    <w:multiLevelType w:val="singleLevel"/>
    <w:tmpl w:val="B0567122"/>
    <w:lvl w:ilvl="0">
      <w:start w:val="1"/>
      <w:numFmt w:val="bullet"/>
      <w:pStyle w:val="ListDash2"/>
      <w:lvlText w:val="–"/>
      <w:lvlJc w:val="left"/>
      <w:pPr>
        <w:tabs>
          <w:tab w:val="num" w:pos="1485"/>
        </w:tabs>
        <w:ind w:left="1485" w:hanging="283"/>
      </w:pPr>
      <w:rPr>
        <w:rFonts w:ascii="Times New Roman" w:hAnsi="Times New Roman"/>
      </w:rPr>
    </w:lvl>
  </w:abstractNum>
  <w:abstractNum w:abstractNumId="18">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9">
    <w:nsid w:val="620F2440"/>
    <w:multiLevelType w:val="singleLevel"/>
    <w:tmpl w:val="6860A420"/>
    <w:lvl w:ilvl="0">
      <w:start w:val="1"/>
      <w:numFmt w:val="bullet"/>
      <w:pStyle w:val="ListBullet3"/>
      <w:lvlText w:val=""/>
      <w:lvlJc w:val="left"/>
      <w:pPr>
        <w:tabs>
          <w:tab w:val="num" w:pos="1485"/>
        </w:tabs>
        <w:ind w:left="1485" w:hanging="283"/>
      </w:pPr>
      <w:rPr>
        <w:rFonts w:ascii="Symbol" w:hAnsi="Symbol"/>
      </w:rPr>
    </w:lvl>
  </w:abstractNum>
  <w:abstractNum w:abstractNumId="20">
    <w:nsid w:val="6DF118C0"/>
    <w:multiLevelType w:val="singleLevel"/>
    <w:tmpl w:val="B90C8B88"/>
    <w:lvl w:ilvl="0">
      <w:start w:val="1"/>
      <w:numFmt w:val="bullet"/>
      <w:pStyle w:val="ListBullet4"/>
      <w:lvlText w:val=""/>
      <w:lvlJc w:val="left"/>
      <w:pPr>
        <w:tabs>
          <w:tab w:val="num" w:pos="1485"/>
        </w:tabs>
        <w:ind w:left="1485" w:hanging="283"/>
      </w:pPr>
      <w:rPr>
        <w:rFonts w:ascii="Symbol" w:hAnsi="Symbol"/>
      </w:rPr>
    </w:lvl>
  </w:abstractNum>
  <w:abstractNum w:abstractNumId="21">
    <w:nsid w:val="722304D7"/>
    <w:multiLevelType w:val="multilevel"/>
    <w:tmpl w:val="9DE2758E"/>
    <w:lvl w:ilvl="0">
      <w:start w:val="1"/>
      <w:numFmt w:val="decimal"/>
      <w:pStyle w:val="ListNumber4"/>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nsid w:val="722304D8"/>
    <w:multiLevelType w:val="hybridMultilevel"/>
    <w:tmpl w:val="722304D8"/>
    <w:lvl w:ilvl="0" w:tplc="8B4C5E94">
      <w:start w:val="1"/>
      <w:numFmt w:val="bullet"/>
      <w:lvlText w:val=""/>
      <w:lvlJc w:val="left"/>
      <w:pPr>
        <w:ind w:left="720" w:hanging="360"/>
      </w:pPr>
      <w:rPr>
        <w:rFonts w:ascii="Symbol" w:hAnsi="Symbol"/>
      </w:rPr>
    </w:lvl>
    <w:lvl w:ilvl="1" w:tplc="C29A1B26">
      <w:start w:val="1"/>
      <w:numFmt w:val="bullet"/>
      <w:lvlText w:val="o"/>
      <w:lvlJc w:val="left"/>
      <w:pPr>
        <w:tabs>
          <w:tab w:val="num" w:pos="1440"/>
        </w:tabs>
        <w:ind w:left="1440" w:hanging="360"/>
      </w:pPr>
      <w:rPr>
        <w:rFonts w:ascii="Courier New" w:hAnsi="Courier New"/>
      </w:rPr>
    </w:lvl>
    <w:lvl w:ilvl="2" w:tplc="01BC06F4">
      <w:start w:val="1"/>
      <w:numFmt w:val="bullet"/>
      <w:lvlText w:val=""/>
      <w:lvlJc w:val="left"/>
      <w:pPr>
        <w:tabs>
          <w:tab w:val="num" w:pos="2160"/>
        </w:tabs>
        <w:ind w:left="2160" w:hanging="360"/>
      </w:pPr>
      <w:rPr>
        <w:rFonts w:ascii="Wingdings" w:hAnsi="Wingdings"/>
      </w:rPr>
    </w:lvl>
    <w:lvl w:ilvl="3" w:tplc="28246B54">
      <w:start w:val="1"/>
      <w:numFmt w:val="bullet"/>
      <w:lvlText w:val=""/>
      <w:lvlJc w:val="left"/>
      <w:pPr>
        <w:tabs>
          <w:tab w:val="num" w:pos="2880"/>
        </w:tabs>
        <w:ind w:left="2880" w:hanging="360"/>
      </w:pPr>
      <w:rPr>
        <w:rFonts w:ascii="Symbol" w:hAnsi="Symbol"/>
      </w:rPr>
    </w:lvl>
    <w:lvl w:ilvl="4" w:tplc="E232472E">
      <w:start w:val="1"/>
      <w:numFmt w:val="bullet"/>
      <w:lvlText w:val="o"/>
      <w:lvlJc w:val="left"/>
      <w:pPr>
        <w:tabs>
          <w:tab w:val="num" w:pos="3600"/>
        </w:tabs>
        <w:ind w:left="3600" w:hanging="360"/>
      </w:pPr>
      <w:rPr>
        <w:rFonts w:ascii="Courier New" w:hAnsi="Courier New"/>
      </w:rPr>
    </w:lvl>
    <w:lvl w:ilvl="5" w:tplc="0244337C">
      <w:start w:val="1"/>
      <w:numFmt w:val="bullet"/>
      <w:lvlText w:val=""/>
      <w:lvlJc w:val="left"/>
      <w:pPr>
        <w:tabs>
          <w:tab w:val="num" w:pos="4320"/>
        </w:tabs>
        <w:ind w:left="4320" w:hanging="360"/>
      </w:pPr>
      <w:rPr>
        <w:rFonts w:ascii="Wingdings" w:hAnsi="Wingdings"/>
      </w:rPr>
    </w:lvl>
    <w:lvl w:ilvl="6" w:tplc="A7E22EC6">
      <w:start w:val="1"/>
      <w:numFmt w:val="bullet"/>
      <w:lvlText w:val=""/>
      <w:lvlJc w:val="left"/>
      <w:pPr>
        <w:tabs>
          <w:tab w:val="num" w:pos="5040"/>
        </w:tabs>
        <w:ind w:left="5040" w:hanging="360"/>
      </w:pPr>
      <w:rPr>
        <w:rFonts w:ascii="Symbol" w:hAnsi="Symbol"/>
      </w:rPr>
    </w:lvl>
    <w:lvl w:ilvl="7" w:tplc="D758C8EE">
      <w:start w:val="1"/>
      <w:numFmt w:val="bullet"/>
      <w:lvlText w:val="o"/>
      <w:lvlJc w:val="left"/>
      <w:pPr>
        <w:tabs>
          <w:tab w:val="num" w:pos="5760"/>
        </w:tabs>
        <w:ind w:left="5760" w:hanging="360"/>
      </w:pPr>
      <w:rPr>
        <w:rFonts w:ascii="Courier New" w:hAnsi="Courier New"/>
      </w:rPr>
    </w:lvl>
    <w:lvl w:ilvl="8" w:tplc="078CD318">
      <w:start w:val="1"/>
      <w:numFmt w:val="bullet"/>
      <w:lvlText w:val=""/>
      <w:lvlJc w:val="left"/>
      <w:pPr>
        <w:tabs>
          <w:tab w:val="num" w:pos="6480"/>
        </w:tabs>
        <w:ind w:left="6480" w:hanging="360"/>
      </w:pPr>
      <w:rPr>
        <w:rFonts w:ascii="Wingdings" w:hAnsi="Wingdings"/>
      </w:rPr>
    </w:lvl>
  </w:abstractNum>
  <w:abstractNum w:abstractNumId="23">
    <w:nsid w:val="722304D9"/>
    <w:multiLevelType w:val="hybridMultilevel"/>
    <w:tmpl w:val="722304D9"/>
    <w:lvl w:ilvl="0" w:tplc="2048E564">
      <w:start w:val="1"/>
      <w:numFmt w:val="bullet"/>
      <w:lvlText w:val=""/>
      <w:lvlJc w:val="left"/>
      <w:pPr>
        <w:ind w:left="720" w:hanging="360"/>
      </w:pPr>
      <w:rPr>
        <w:rFonts w:ascii="Symbol" w:hAnsi="Symbol"/>
      </w:rPr>
    </w:lvl>
    <w:lvl w:ilvl="1" w:tplc="ADEA7E72">
      <w:start w:val="1"/>
      <w:numFmt w:val="bullet"/>
      <w:lvlText w:val="o"/>
      <w:lvlJc w:val="left"/>
      <w:pPr>
        <w:tabs>
          <w:tab w:val="num" w:pos="1440"/>
        </w:tabs>
        <w:ind w:left="1440" w:hanging="360"/>
      </w:pPr>
      <w:rPr>
        <w:rFonts w:ascii="Courier New" w:hAnsi="Courier New"/>
      </w:rPr>
    </w:lvl>
    <w:lvl w:ilvl="2" w:tplc="3FAC00A8">
      <w:start w:val="1"/>
      <w:numFmt w:val="bullet"/>
      <w:lvlText w:val=""/>
      <w:lvlJc w:val="left"/>
      <w:pPr>
        <w:tabs>
          <w:tab w:val="num" w:pos="2160"/>
        </w:tabs>
        <w:ind w:left="2160" w:hanging="360"/>
      </w:pPr>
      <w:rPr>
        <w:rFonts w:ascii="Wingdings" w:hAnsi="Wingdings"/>
      </w:rPr>
    </w:lvl>
    <w:lvl w:ilvl="3" w:tplc="8E5C08C4">
      <w:start w:val="1"/>
      <w:numFmt w:val="bullet"/>
      <w:lvlText w:val=""/>
      <w:lvlJc w:val="left"/>
      <w:pPr>
        <w:tabs>
          <w:tab w:val="num" w:pos="2880"/>
        </w:tabs>
        <w:ind w:left="2880" w:hanging="360"/>
      </w:pPr>
      <w:rPr>
        <w:rFonts w:ascii="Symbol" w:hAnsi="Symbol"/>
      </w:rPr>
    </w:lvl>
    <w:lvl w:ilvl="4" w:tplc="B406CF62">
      <w:start w:val="1"/>
      <w:numFmt w:val="bullet"/>
      <w:lvlText w:val="o"/>
      <w:lvlJc w:val="left"/>
      <w:pPr>
        <w:tabs>
          <w:tab w:val="num" w:pos="3600"/>
        </w:tabs>
        <w:ind w:left="3600" w:hanging="360"/>
      </w:pPr>
      <w:rPr>
        <w:rFonts w:ascii="Courier New" w:hAnsi="Courier New"/>
      </w:rPr>
    </w:lvl>
    <w:lvl w:ilvl="5" w:tplc="7F4877DA">
      <w:start w:val="1"/>
      <w:numFmt w:val="bullet"/>
      <w:lvlText w:val=""/>
      <w:lvlJc w:val="left"/>
      <w:pPr>
        <w:tabs>
          <w:tab w:val="num" w:pos="4320"/>
        </w:tabs>
        <w:ind w:left="4320" w:hanging="360"/>
      </w:pPr>
      <w:rPr>
        <w:rFonts w:ascii="Wingdings" w:hAnsi="Wingdings"/>
      </w:rPr>
    </w:lvl>
    <w:lvl w:ilvl="6" w:tplc="43E89600">
      <w:start w:val="1"/>
      <w:numFmt w:val="bullet"/>
      <w:lvlText w:val=""/>
      <w:lvlJc w:val="left"/>
      <w:pPr>
        <w:tabs>
          <w:tab w:val="num" w:pos="5040"/>
        </w:tabs>
        <w:ind w:left="5040" w:hanging="360"/>
      </w:pPr>
      <w:rPr>
        <w:rFonts w:ascii="Symbol" w:hAnsi="Symbol"/>
      </w:rPr>
    </w:lvl>
    <w:lvl w:ilvl="7" w:tplc="0C2C3A90">
      <w:start w:val="1"/>
      <w:numFmt w:val="bullet"/>
      <w:lvlText w:val="o"/>
      <w:lvlJc w:val="left"/>
      <w:pPr>
        <w:tabs>
          <w:tab w:val="num" w:pos="5760"/>
        </w:tabs>
        <w:ind w:left="5760" w:hanging="360"/>
      </w:pPr>
      <w:rPr>
        <w:rFonts w:ascii="Courier New" w:hAnsi="Courier New"/>
      </w:rPr>
    </w:lvl>
    <w:lvl w:ilvl="8" w:tplc="13CCFB5E">
      <w:start w:val="1"/>
      <w:numFmt w:val="bullet"/>
      <w:lvlText w:val=""/>
      <w:lvlJc w:val="left"/>
      <w:pPr>
        <w:tabs>
          <w:tab w:val="num" w:pos="6480"/>
        </w:tabs>
        <w:ind w:left="6480" w:hanging="360"/>
      </w:pPr>
      <w:rPr>
        <w:rFonts w:ascii="Wingdings" w:hAnsi="Wingdings"/>
      </w:rPr>
    </w:lvl>
  </w:abstractNum>
  <w:abstractNum w:abstractNumId="24">
    <w:nsid w:val="722304DA"/>
    <w:multiLevelType w:val="hybridMultilevel"/>
    <w:tmpl w:val="722304DA"/>
    <w:lvl w:ilvl="0" w:tplc="E3B051A0">
      <w:start w:val="1"/>
      <w:numFmt w:val="bullet"/>
      <w:lvlText w:val=""/>
      <w:lvlJc w:val="left"/>
      <w:pPr>
        <w:ind w:left="720" w:hanging="360"/>
      </w:pPr>
      <w:rPr>
        <w:rFonts w:ascii="Symbol" w:hAnsi="Symbol"/>
      </w:rPr>
    </w:lvl>
    <w:lvl w:ilvl="1" w:tplc="C21E9A10">
      <w:start w:val="1"/>
      <w:numFmt w:val="bullet"/>
      <w:lvlText w:val="o"/>
      <w:lvlJc w:val="left"/>
      <w:pPr>
        <w:tabs>
          <w:tab w:val="num" w:pos="1440"/>
        </w:tabs>
        <w:ind w:left="1440" w:hanging="360"/>
      </w:pPr>
      <w:rPr>
        <w:rFonts w:ascii="Courier New" w:hAnsi="Courier New"/>
      </w:rPr>
    </w:lvl>
    <w:lvl w:ilvl="2" w:tplc="DECE24AC">
      <w:start w:val="1"/>
      <w:numFmt w:val="bullet"/>
      <w:lvlText w:val=""/>
      <w:lvlJc w:val="left"/>
      <w:pPr>
        <w:tabs>
          <w:tab w:val="num" w:pos="2160"/>
        </w:tabs>
        <w:ind w:left="2160" w:hanging="360"/>
      </w:pPr>
      <w:rPr>
        <w:rFonts w:ascii="Wingdings" w:hAnsi="Wingdings"/>
      </w:rPr>
    </w:lvl>
    <w:lvl w:ilvl="3" w:tplc="5F8261BA">
      <w:start w:val="1"/>
      <w:numFmt w:val="bullet"/>
      <w:lvlText w:val=""/>
      <w:lvlJc w:val="left"/>
      <w:pPr>
        <w:tabs>
          <w:tab w:val="num" w:pos="2880"/>
        </w:tabs>
        <w:ind w:left="2880" w:hanging="360"/>
      </w:pPr>
      <w:rPr>
        <w:rFonts w:ascii="Symbol" w:hAnsi="Symbol"/>
      </w:rPr>
    </w:lvl>
    <w:lvl w:ilvl="4" w:tplc="A60CA51C">
      <w:start w:val="1"/>
      <w:numFmt w:val="bullet"/>
      <w:lvlText w:val="o"/>
      <w:lvlJc w:val="left"/>
      <w:pPr>
        <w:tabs>
          <w:tab w:val="num" w:pos="3600"/>
        </w:tabs>
        <w:ind w:left="3600" w:hanging="360"/>
      </w:pPr>
      <w:rPr>
        <w:rFonts w:ascii="Courier New" w:hAnsi="Courier New"/>
      </w:rPr>
    </w:lvl>
    <w:lvl w:ilvl="5" w:tplc="B0763DDA">
      <w:start w:val="1"/>
      <w:numFmt w:val="bullet"/>
      <w:lvlText w:val=""/>
      <w:lvlJc w:val="left"/>
      <w:pPr>
        <w:tabs>
          <w:tab w:val="num" w:pos="4320"/>
        </w:tabs>
        <w:ind w:left="4320" w:hanging="360"/>
      </w:pPr>
      <w:rPr>
        <w:rFonts w:ascii="Wingdings" w:hAnsi="Wingdings"/>
      </w:rPr>
    </w:lvl>
    <w:lvl w:ilvl="6" w:tplc="62303CE2">
      <w:start w:val="1"/>
      <w:numFmt w:val="bullet"/>
      <w:lvlText w:val=""/>
      <w:lvlJc w:val="left"/>
      <w:pPr>
        <w:tabs>
          <w:tab w:val="num" w:pos="5040"/>
        </w:tabs>
        <w:ind w:left="5040" w:hanging="360"/>
      </w:pPr>
      <w:rPr>
        <w:rFonts w:ascii="Symbol" w:hAnsi="Symbol"/>
      </w:rPr>
    </w:lvl>
    <w:lvl w:ilvl="7" w:tplc="0CBE2418">
      <w:start w:val="1"/>
      <w:numFmt w:val="bullet"/>
      <w:lvlText w:val="o"/>
      <w:lvlJc w:val="left"/>
      <w:pPr>
        <w:tabs>
          <w:tab w:val="num" w:pos="5760"/>
        </w:tabs>
        <w:ind w:left="5760" w:hanging="360"/>
      </w:pPr>
      <w:rPr>
        <w:rFonts w:ascii="Courier New" w:hAnsi="Courier New"/>
      </w:rPr>
    </w:lvl>
    <w:lvl w:ilvl="8" w:tplc="14D45892">
      <w:start w:val="1"/>
      <w:numFmt w:val="bullet"/>
      <w:lvlText w:val=""/>
      <w:lvlJc w:val="left"/>
      <w:pPr>
        <w:tabs>
          <w:tab w:val="num" w:pos="6480"/>
        </w:tabs>
        <w:ind w:left="6480" w:hanging="360"/>
      </w:pPr>
      <w:rPr>
        <w:rFonts w:ascii="Wingdings" w:hAnsi="Wingdings"/>
      </w:rPr>
    </w:lvl>
  </w:abstractNum>
  <w:abstractNum w:abstractNumId="25">
    <w:nsid w:val="722304DB"/>
    <w:multiLevelType w:val="hybridMultilevel"/>
    <w:tmpl w:val="722304DB"/>
    <w:lvl w:ilvl="0" w:tplc="AF68AC2A">
      <w:start w:val="1"/>
      <w:numFmt w:val="bullet"/>
      <w:lvlText w:val=""/>
      <w:lvlJc w:val="left"/>
      <w:pPr>
        <w:ind w:left="720" w:hanging="360"/>
      </w:pPr>
      <w:rPr>
        <w:rFonts w:ascii="Symbol" w:hAnsi="Symbol"/>
      </w:rPr>
    </w:lvl>
    <w:lvl w:ilvl="1" w:tplc="53B47CD6">
      <w:start w:val="1"/>
      <w:numFmt w:val="bullet"/>
      <w:lvlText w:val="o"/>
      <w:lvlJc w:val="left"/>
      <w:pPr>
        <w:tabs>
          <w:tab w:val="num" w:pos="1440"/>
        </w:tabs>
        <w:ind w:left="1440" w:hanging="360"/>
      </w:pPr>
      <w:rPr>
        <w:rFonts w:ascii="Courier New" w:hAnsi="Courier New"/>
      </w:rPr>
    </w:lvl>
    <w:lvl w:ilvl="2" w:tplc="7E0AAA0A">
      <w:start w:val="1"/>
      <w:numFmt w:val="bullet"/>
      <w:lvlText w:val=""/>
      <w:lvlJc w:val="left"/>
      <w:pPr>
        <w:tabs>
          <w:tab w:val="num" w:pos="2160"/>
        </w:tabs>
        <w:ind w:left="2160" w:hanging="360"/>
      </w:pPr>
      <w:rPr>
        <w:rFonts w:ascii="Wingdings" w:hAnsi="Wingdings"/>
      </w:rPr>
    </w:lvl>
    <w:lvl w:ilvl="3" w:tplc="AF002A8E">
      <w:start w:val="1"/>
      <w:numFmt w:val="bullet"/>
      <w:lvlText w:val=""/>
      <w:lvlJc w:val="left"/>
      <w:pPr>
        <w:tabs>
          <w:tab w:val="num" w:pos="2880"/>
        </w:tabs>
        <w:ind w:left="2880" w:hanging="360"/>
      </w:pPr>
      <w:rPr>
        <w:rFonts w:ascii="Symbol" w:hAnsi="Symbol"/>
      </w:rPr>
    </w:lvl>
    <w:lvl w:ilvl="4" w:tplc="F7A8B0E6">
      <w:start w:val="1"/>
      <w:numFmt w:val="bullet"/>
      <w:lvlText w:val="o"/>
      <w:lvlJc w:val="left"/>
      <w:pPr>
        <w:tabs>
          <w:tab w:val="num" w:pos="3600"/>
        </w:tabs>
        <w:ind w:left="3600" w:hanging="360"/>
      </w:pPr>
      <w:rPr>
        <w:rFonts w:ascii="Courier New" w:hAnsi="Courier New"/>
      </w:rPr>
    </w:lvl>
    <w:lvl w:ilvl="5" w:tplc="ECBA511A">
      <w:start w:val="1"/>
      <w:numFmt w:val="bullet"/>
      <w:lvlText w:val=""/>
      <w:lvlJc w:val="left"/>
      <w:pPr>
        <w:tabs>
          <w:tab w:val="num" w:pos="4320"/>
        </w:tabs>
        <w:ind w:left="4320" w:hanging="360"/>
      </w:pPr>
      <w:rPr>
        <w:rFonts w:ascii="Wingdings" w:hAnsi="Wingdings"/>
      </w:rPr>
    </w:lvl>
    <w:lvl w:ilvl="6" w:tplc="AAE23696">
      <w:start w:val="1"/>
      <w:numFmt w:val="bullet"/>
      <w:lvlText w:val=""/>
      <w:lvlJc w:val="left"/>
      <w:pPr>
        <w:tabs>
          <w:tab w:val="num" w:pos="5040"/>
        </w:tabs>
        <w:ind w:left="5040" w:hanging="360"/>
      </w:pPr>
      <w:rPr>
        <w:rFonts w:ascii="Symbol" w:hAnsi="Symbol"/>
      </w:rPr>
    </w:lvl>
    <w:lvl w:ilvl="7" w:tplc="83EC98D6">
      <w:start w:val="1"/>
      <w:numFmt w:val="bullet"/>
      <w:lvlText w:val="o"/>
      <w:lvlJc w:val="left"/>
      <w:pPr>
        <w:tabs>
          <w:tab w:val="num" w:pos="5760"/>
        </w:tabs>
        <w:ind w:left="5760" w:hanging="360"/>
      </w:pPr>
      <w:rPr>
        <w:rFonts w:ascii="Courier New" w:hAnsi="Courier New"/>
      </w:rPr>
    </w:lvl>
    <w:lvl w:ilvl="8" w:tplc="DF4ADC1C">
      <w:start w:val="1"/>
      <w:numFmt w:val="bullet"/>
      <w:lvlText w:val=""/>
      <w:lvlJc w:val="left"/>
      <w:pPr>
        <w:tabs>
          <w:tab w:val="num" w:pos="6480"/>
        </w:tabs>
        <w:ind w:left="6480" w:hanging="360"/>
      </w:pPr>
      <w:rPr>
        <w:rFonts w:ascii="Wingdings" w:hAnsi="Wingdings"/>
      </w:rPr>
    </w:lvl>
  </w:abstractNum>
  <w:abstractNum w:abstractNumId="26">
    <w:nsid w:val="722304DC"/>
    <w:multiLevelType w:val="multilevel"/>
    <w:tmpl w:val="722304D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27">
    <w:nsid w:val="722304DD"/>
    <w:multiLevelType w:val="hybridMultilevel"/>
    <w:tmpl w:val="722304DD"/>
    <w:lvl w:ilvl="0" w:tplc="FAD0C728">
      <w:start w:val="1"/>
      <w:numFmt w:val="bullet"/>
      <w:lvlText w:val=""/>
      <w:lvlJc w:val="left"/>
      <w:pPr>
        <w:ind w:left="720" w:hanging="360"/>
      </w:pPr>
      <w:rPr>
        <w:rFonts w:ascii="Symbol" w:hAnsi="Symbol"/>
      </w:rPr>
    </w:lvl>
    <w:lvl w:ilvl="1" w:tplc="CF2EC180">
      <w:start w:val="1"/>
      <w:numFmt w:val="bullet"/>
      <w:lvlText w:val="o"/>
      <w:lvlJc w:val="left"/>
      <w:pPr>
        <w:tabs>
          <w:tab w:val="num" w:pos="1440"/>
        </w:tabs>
        <w:ind w:left="1440" w:hanging="360"/>
      </w:pPr>
      <w:rPr>
        <w:rFonts w:ascii="Courier New" w:hAnsi="Courier New"/>
      </w:rPr>
    </w:lvl>
    <w:lvl w:ilvl="2" w:tplc="DBD283F0">
      <w:start w:val="1"/>
      <w:numFmt w:val="bullet"/>
      <w:lvlText w:val=""/>
      <w:lvlJc w:val="left"/>
      <w:pPr>
        <w:tabs>
          <w:tab w:val="num" w:pos="2160"/>
        </w:tabs>
        <w:ind w:left="2160" w:hanging="360"/>
      </w:pPr>
      <w:rPr>
        <w:rFonts w:ascii="Wingdings" w:hAnsi="Wingdings"/>
      </w:rPr>
    </w:lvl>
    <w:lvl w:ilvl="3" w:tplc="22CC3EF4">
      <w:start w:val="1"/>
      <w:numFmt w:val="bullet"/>
      <w:lvlText w:val=""/>
      <w:lvlJc w:val="left"/>
      <w:pPr>
        <w:tabs>
          <w:tab w:val="num" w:pos="2880"/>
        </w:tabs>
        <w:ind w:left="2880" w:hanging="360"/>
      </w:pPr>
      <w:rPr>
        <w:rFonts w:ascii="Symbol" w:hAnsi="Symbol"/>
      </w:rPr>
    </w:lvl>
    <w:lvl w:ilvl="4" w:tplc="A1327666">
      <w:start w:val="1"/>
      <w:numFmt w:val="bullet"/>
      <w:lvlText w:val="o"/>
      <w:lvlJc w:val="left"/>
      <w:pPr>
        <w:tabs>
          <w:tab w:val="num" w:pos="3600"/>
        </w:tabs>
        <w:ind w:left="3600" w:hanging="360"/>
      </w:pPr>
      <w:rPr>
        <w:rFonts w:ascii="Courier New" w:hAnsi="Courier New"/>
      </w:rPr>
    </w:lvl>
    <w:lvl w:ilvl="5" w:tplc="C0C0020A">
      <w:start w:val="1"/>
      <w:numFmt w:val="bullet"/>
      <w:lvlText w:val=""/>
      <w:lvlJc w:val="left"/>
      <w:pPr>
        <w:tabs>
          <w:tab w:val="num" w:pos="4320"/>
        </w:tabs>
        <w:ind w:left="4320" w:hanging="360"/>
      </w:pPr>
      <w:rPr>
        <w:rFonts w:ascii="Wingdings" w:hAnsi="Wingdings"/>
      </w:rPr>
    </w:lvl>
    <w:lvl w:ilvl="6" w:tplc="733C3996">
      <w:start w:val="1"/>
      <w:numFmt w:val="bullet"/>
      <w:lvlText w:val=""/>
      <w:lvlJc w:val="left"/>
      <w:pPr>
        <w:tabs>
          <w:tab w:val="num" w:pos="5040"/>
        </w:tabs>
        <w:ind w:left="5040" w:hanging="360"/>
      </w:pPr>
      <w:rPr>
        <w:rFonts w:ascii="Symbol" w:hAnsi="Symbol"/>
      </w:rPr>
    </w:lvl>
    <w:lvl w:ilvl="7" w:tplc="9BCED162">
      <w:start w:val="1"/>
      <w:numFmt w:val="bullet"/>
      <w:lvlText w:val="o"/>
      <w:lvlJc w:val="left"/>
      <w:pPr>
        <w:tabs>
          <w:tab w:val="num" w:pos="5760"/>
        </w:tabs>
        <w:ind w:left="5760" w:hanging="360"/>
      </w:pPr>
      <w:rPr>
        <w:rFonts w:ascii="Courier New" w:hAnsi="Courier New"/>
      </w:rPr>
    </w:lvl>
    <w:lvl w:ilvl="8" w:tplc="137A73CA">
      <w:start w:val="1"/>
      <w:numFmt w:val="bullet"/>
      <w:lvlText w:val=""/>
      <w:lvlJc w:val="left"/>
      <w:pPr>
        <w:tabs>
          <w:tab w:val="num" w:pos="6480"/>
        </w:tabs>
        <w:ind w:left="6480" w:hanging="360"/>
      </w:pPr>
      <w:rPr>
        <w:rFonts w:ascii="Wingdings" w:hAnsi="Wingdings"/>
      </w:rPr>
    </w:lvl>
  </w:abstractNum>
  <w:abstractNum w:abstractNumId="28">
    <w:nsid w:val="722304DE"/>
    <w:multiLevelType w:val="hybridMultilevel"/>
    <w:tmpl w:val="722304DE"/>
    <w:lvl w:ilvl="0" w:tplc="4446B73E">
      <w:start w:val="1"/>
      <w:numFmt w:val="bullet"/>
      <w:lvlText w:val=""/>
      <w:lvlJc w:val="left"/>
      <w:pPr>
        <w:ind w:left="720" w:hanging="360"/>
      </w:pPr>
      <w:rPr>
        <w:rFonts w:ascii="Symbol" w:hAnsi="Symbol"/>
      </w:rPr>
    </w:lvl>
    <w:lvl w:ilvl="1" w:tplc="56267254">
      <w:start w:val="1"/>
      <w:numFmt w:val="bullet"/>
      <w:lvlText w:val="o"/>
      <w:lvlJc w:val="left"/>
      <w:pPr>
        <w:tabs>
          <w:tab w:val="num" w:pos="1440"/>
        </w:tabs>
        <w:ind w:left="1440" w:hanging="360"/>
      </w:pPr>
      <w:rPr>
        <w:rFonts w:ascii="Courier New" w:hAnsi="Courier New"/>
      </w:rPr>
    </w:lvl>
    <w:lvl w:ilvl="2" w:tplc="8FAC5CC6">
      <w:start w:val="1"/>
      <w:numFmt w:val="bullet"/>
      <w:lvlText w:val=""/>
      <w:lvlJc w:val="left"/>
      <w:pPr>
        <w:tabs>
          <w:tab w:val="num" w:pos="2160"/>
        </w:tabs>
        <w:ind w:left="2160" w:hanging="360"/>
      </w:pPr>
      <w:rPr>
        <w:rFonts w:ascii="Wingdings" w:hAnsi="Wingdings"/>
      </w:rPr>
    </w:lvl>
    <w:lvl w:ilvl="3" w:tplc="80BC3F5A">
      <w:start w:val="1"/>
      <w:numFmt w:val="bullet"/>
      <w:lvlText w:val=""/>
      <w:lvlJc w:val="left"/>
      <w:pPr>
        <w:tabs>
          <w:tab w:val="num" w:pos="2880"/>
        </w:tabs>
        <w:ind w:left="2880" w:hanging="360"/>
      </w:pPr>
      <w:rPr>
        <w:rFonts w:ascii="Symbol" w:hAnsi="Symbol"/>
      </w:rPr>
    </w:lvl>
    <w:lvl w:ilvl="4" w:tplc="CA828910">
      <w:start w:val="1"/>
      <w:numFmt w:val="bullet"/>
      <w:lvlText w:val="o"/>
      <w:lvlJc w:val="left"/>
      <w:pPr>
        <w:tabs>
          <w:tab w:val="num" w:pos="3600"/>
        </w:tabs>
        <w:ind w:left="3600" w:hanging="360"/>
      </w:pPr>
      <w:rPr>
        <w:rFonts w:ascii="Courier New" w:hAnsi="Courier New"/>
      </w:rPr>
    </w:lvl>
    <w:lvl w:ilvl="5" w:tplc="C48E1AF0">
      <w:start w:val="1"/>
      <w:numFmt w:val="bullet"/>
      <w:lvlText w:val=""/>
      <w:lvlJc w:val="left"/>
      <w:pPr>
        <w:tabs>
          <w:tab w:val="num" w:pos="4320"/>
        </w:tabs>
        <w:ind w:left="4320" w:hanging="360"/>
      </w:pPr>
      <w:rPr>
        <w:rFonts w:ascii="Wingdings" w:hAnsi="Wingdings"/>
      </w:rPr>
    </w:lvl>
    <w:lvl w:ilvl="6" w:tplc="B4744B16">
      <w:start w:val="1"/>
      <w:numFmt w:val="bullet"/>
      <w:lvlText w:val=""/>
      <w:lvlJc w:val="left"/>
      <w:pPr>
        <w:tabs>
          <w:tab w:val="num" w:pos="5040"/>
        </w:tabs>
        <w:ind w:left="5040" w:hanging="360"/>
      </w:pPr>
      <w:rPr>
        <w:rFonts w:ascii="Symbol" w:hAnsi="Symbol"/>
      </w:rPr>
    </w:lvl>
    <w:lvl w:ilvl="7" w:tplc="2070E972">
      <w:start w:val="1"/>
      <w:numFmt w:val="bullet"/>
      <w:lvlText w:val="o"/>
      <w:lvlJc w:val="left"/>
      <w:pPr>
        <w:tabs>
          <w:tab w:val="num" w:pos="5760"/>
        </w:tabs>
        <w:ind w:left="5760" w:hanging="360"/>
      </w:pPr>
      <w:rPr>
        <w:rFonts w:ascii="Courier New" w:hAnsi="Courier New"/>
      </w:rPr>
    </w:lvl>
    <w:lvl w:ilvl="8" w:tplc="77A69B2E">
      <w:start w:val="1"/>
      <w:numFmt w:val="bullet"/>
      <w:lvlText w:val=""/>
      <w:lvlJc w:val="left"/>
      <w:pPr>
        <w:tabs>
          <w:tab w:val="num" w:pos="6480"/>
        </w:tabs>
        <w:ind w:left="6480" w:hanging="360"/>
      </w:pPr>
      <w:rPr>
        <w:rFonts w:ascii="Wingdings" w:hAnsi="Wingdings"/>
      </w:rPr>
    </w:lvl>
  </w:abstractNum>
  <w:abstractNum w:abstractNumId="29">
    <w:nsid w:val="722304DF"/>
    <w:multiLevelType w:val="hybridMultilevel"/>
    <w:tmpl w:val="722304DF"/>
    <w:lvl w:ilvl="0" w:tplc="2B166D96">
      <w:start w:val="1"/>
      <w:numFmt w:val="bullet"/>
      <w:lvlText w:val=""/>
      <w:lvlJc w:val="left"/>
      <w:pPr>
        <w:ind w:left="720" w:hanging="360"/>
      </w:pPr>
      <w:rPr>
        <w:rFonts w:ascii="Symbol" w:hAnsi="Symbol"/>
      </w:rPr>
    </w:lvl>
    <w:lvl w:ilvl="1" w:tplc="B0A2BF66">
      <w:start w:val="1"/>
      <w:numFmt w:val="bullet"/>
      <w:lvlText w:val="o"/>
      <w:lvlJc w:val="left"/>
      <w:pPr>
        <w:tabs>
          <w:tab w:val="num" w:pos="1440"/>
        </w:tabs>
        <w:ind w:left="1440" w:hanging="360"/>
      </w:pPr>
      <w:rPr>
        <w:rFonts w:ascii="Courier New" w:hAnsi="Courier New"/>
      </w:rPr>
    </w:lvl>
    <w:lvl w:ilvl="2" w:tplc="40962EBC">
      <w:start w:val="1"/>
      <w:numFmt w:val="bullet"/>
      <w:lvlText w:val=""/>
      <w:lvlJc w:val="left"/>
      <w:pPr>
        <w:tabs>
          <w:tab w:val="num" w:pos="2160"/>
        </w:tabs>
        <w:ind w:left="2160" w:hanging="360"/>
      </w:pPr>
      <w:rPr>
        <w:rFonts w:ascii="Wingdings" w:hAnsi="Wingdings"/>
      </w:rPr>
    </w:lvl>
    <w:lvl w:ilvl="3" w:tplc="3D927698">
      <w:start w:val="1"/>
      <w:numFmt w:val="bullet"/>
      <w:lvlText w:val=""/>
      <w:lvlJc w:val="left"/>
      <w:pPr>
        <w:tabs>
          <w:tab w:val="num" w:pos="2880"/>
        </w:tabs>
        <w:ind w:left="2880" w:hanging="360"/>
      </w:pPr>
      <w:rPr>
        <w:rFonts w:ascii="Symbol" w:hAnsi="Symbol"/>
      </w:rPr>
    </w:lvl>
    <w:lvl w:ilvl="4" w:tplc="3976C4C0">
      <w:start w:val="1"/>
      <w:numFmt w:val="bullet"/>
      <w:lvlText w:val="o"/>
      <w:lvlJc w:val="left"/>
      <w:pPr>
        <w:tabs>
          <w:tab w:val="num" w:pos="3600"/>
        </w:tabs>
        <w:ind w:left="3600" w:hanging="360"/>
      </w:pPr>
      <w:rPr>
        <w:rFonts w:ascii="Courier New" w:hAnsi="Courier New"/>
      </w:rPr>
    </w:lvl>
    <w:lvl w:ilvl="5" w:tplc="9230B2C4">
      <w:start w:val="1"/>
      <w:numFmt w:val="bullet"/>
      <w:lvlText w:val=""/>
      <w:lvlJc w:val="left"/>
      <w:pPr>
        <w:tabs>
          <w:tab w:val="num" w:pos="4320"/>
        </w:tabs>
        <w:ind w:left="4320" w:hanging="360"/>
      </w:pPr>
      <w:rPr>
        <w:rFonts w:ascii="Wingdings" w:hAnsi="Wingdings"/>
      </w:rPr>
    </w:lvl>
    <w:lvl w:ilvl="6" w:tplc="BF3855B2">
      <w:start w:val="1"/>
      <w:numFmt w:val="bullet"/>
      <w:lvlText w:val=""/>
      <w:lvlJc w:val="left"/>
      <w:pPr>
        <w:tabs>
          <w:tab w:val="num" w:pos="5040"/>
        </w:tabs>
        <w:ind w:left="5040" w:hanging="360"/>
      </w:pPr>
      <w:rPr>
        <w:rFonts w:ascii="Symbol" w:hAnsi="Symbol"/>
      </w:rPr>
    </w:lvl>
    <w:lvl w:ilvl="7" w:tplc="260E6E66">
      <w:start w:val="1"/>
      <w:numFmt w:val="bullet"/>
      <w:lvlText w:val="o"/>
      <w:lvlJc w:val="left"/>
      <w:pPr>
        <w:tabs>
          <w:tab w:val="num" w:pos="5760"/>
        </w:tabs>
        <w:ind w:left="5760" w:hanging="360"/>
      </w:pPr>
      <w:rPr>
        <w:rFonts w:ascii="Courier New" w:hAnsi="Courier New"/>
      </w:rPr>
    </w:lvl>
    <w:lvl w:ilvl="8" w:tplc="CE702BB6">
      <w:start w:val="1"/>
      <w:numFmt w:val="bullet"/>
      <w:lvlText w:val=""/>
      <w:lvlJc w:val="left"/>
      <w:pPr>
        <w:tabs>
          <w:tab w:val="num" w:pos="6480"/>
        </w:tabs>
        <w:ind w:left="6480" w:hanging="360"/>
      </w:pPr>
      <w:rPr>
        <w:rFonts w:ascii="Wingdings" w:hAnsi="Wingdings"/>
      </w:rPr>
    </w:lvl>
  </w:abstractNum>
  <w:abstractNum w:abstractNumId="30">
    <w:nsid w:val="722304E0"/>
    <w:multiLevelType w:val="hybridMultilevel"/>
    <w:tmpl w:val="722304E0"/>
    <w:lvl w:ilvl="0" w:tplc="D0608492">
      <w:start w:val="1"/>
      <w:numFmt w:val="bullet"/>
      <w:lvlText w:val=""/>
      <w:lvlJc w:val="left"/>
      <w:pPr>
        <w:ind w:left="720" w:hanging="360"/>
      </w:pPr>
      <w:rPr>
        <w:rFonts w:ascii="Symbol" w:hAnsi="Symbol"/>
      </w:rPr>
    </w:lvl>
    <w:lvl w:ilvl="1" w:tplc="79CE5AD0">
      <w:start w:val="1"/>
      <w:numFmt w:val="bullet"/>
      <w:lvlText w:val="o"/>
      <w:lvlJc w:val="left"/>
      <w:pPr>
        <w:tabs>
          <w:tab w:val="num" w:pos="1440"/>
        </w:tabs>
        <w:ind w:left="1440" w:hanging="360"/>
      </w:pPr>
      <w:rPr>
        <w:rFonts w:ascii="Courier New" w:hAnsi="Courier New"/>
      </w:rPr>
    </w:lvl>
    <w:lvl w:ilvl="2" w:tplc="6F52366C">
      <w:start w:val="1"/>
      <w:numFmt w:val="bullet"/>
      <w:lvlText w:val=""/>
      <w:lvlJc w:val="left"/>
      <w:pPr>
        <w:tabs>
          <w:tab w:val="num" w:pos="2160"/>
        </w:tabs>
        <w:ind w:left="2160" w:hanging="360"/>
      </w:pPr>
      <w:rPr>
        <w:rFonts w:ascii="Wingdings" w:hAnsi="Wingdings"/>
      </w:rPr>
    </w:lvl>
    <w:lvl w:ilvl="3" w:tplc="463602EC">
      <w:start w:val="1"/>
      <w:numFmt w:val="bullet"/>
      <w:lvlText w:val=""/>
      <w:lvlJc w:val="left"/>
      <w:pPr>
        <w:tabs>
          <w:tab w:val="num" w:pos="2880"/>
        </w:tabs>
        <w:ind w:left="2880" w:hanging="360"/>
      </w:pPr>
      <w:rPr>
        <w:rFonts w:ascii="Symbol" w:hAnsi="Symbol"/>
      </w:rPr>
    </w:lvl>
    <w:lvl w:ilvl="4" w:tplc="56C05BAE">
      <w:start w:val="1"/>
      <w:numFmt w:val="bullet"/>
      <w:lvlText w:val="o"/>
      <w:lvlJc w:val="left"/>
      <w:pPr>
        <w:tabs>
          <w:tab w:val="num" w:pos="3600"/>
        </w:tabs>
        <w:ind w:left="3600" w:hanging="360"/>
      </w:pPr>
      <w:rPr>
        <w:rFonts w:ascii="Courier New" w:hAnsi="Courier New"/>
      </w:rPr>
    </w:lvl>
    <w:lvl w:ilvl="5" w:tplc="9AC28F36">
      <w:start w:val="1"/>
      <w:numFmt w:val="bullet"/>
      <w:lvlText w:val=""/>
      <w:lvlJc w:val="left"/>
      <w:pPr>
        <w:tabs>
          <w:tab w:val="num" w:pos="4320"/>
        </w:tabs>
        <w:ind w:left="4320" w:hanging="360"/>
      </w:pPr>
      <w:rPr>
        <w:rFonts w:ascii="Wingdings" w:hAnsi="Wingdings"/>
      </w:rPr>
    </w:lvl>
    <w:lvl w:ilvl="6" w:tplc="B81A691E">
      <w:start w:val="1"/>
      <w:numFmt w:val="bullet"/>
      <w:lvlText w:val=""/>
      <w:lvlJc w:val="left"/>
      <w:pPr>
        <w:tabs>
          <w:tab w:val="num" w:pos="5040"/>
        </w:tabs>
        <w:ind w:left="5040" w:hanging="360"/>
      </w:pPr>
      <w:rPr>
        <w:rFonts w:ascii="Symbol" w:hAnsi="Symbol"/>
      </w:rPr>
    </w:lvl>
    <w:lvl w:ilvl="7" w:tplc="32E259CE">
      <w:start w:val="1"/>
      <w:numFmt w:val="bullet"/>
      <w:lvlText w:val="o"/>
      <w:lvlJc w:val="left"/>
      <w:pPr>
        <w:tabs>
          <w:tab w:val="num" w:pos="5760"/>
        </w:tabs>
        <w:ind w:left="5760" w:hanging="360"/>
      </w:pPr>
      <w:rPr>
        <w:rFonts w:ascii="Courier New" w:hAnsi="Courier New"/>
      </w:rPr>
    </w:lvl>
    <w:lvl w:ilvl="8" w:tplc="C762A916">
      <w:start w:val="1"/>
      <w:numFmt w:val="bullet"/>
      <w:lvlText w:val=""/>
      <w:lvlJc w:val="left"/>
      <w:pPr>
        <w:tabs>
          <w:tab w:val="num" w:pos="6480"/>
        </w:tabs>
        <w:ind w:left="6480" w:hanging="360"/>
      </w:pPr>
      <w:rPr>
        <w:rFonts w:ascii="Wingdings" w:hAnsi="Wingdings"/>
      </w:rPr>
    </w:lvl>
  </w:abstractNum>
  <w:abstractNum w:abstractNumId="31">
    <w:nsid w:val="722304E1"/>
    <w:multiLevelType w:val="hybridMultilevel"/>
    <w:tmpl w:val="722304E1"/>
    <w:lvl w:ilvl="0" w:tplc="7EDC5A00">
      <w:start w:val="1"/>
      <w:numFmt w:val="bullet"/>
      <w:lvlText w:val=""/>
      <w:lvlJc w:val="left"/>
      <w:pPr>
        <w:ind w:left="720" w:hanging="360"/>
      </w:pPr>
      <w:rPr>
        <w:rFonts w:ascii="Symbol" w:hAnsi="Symbol"/>
      </w:rPr>
    </w:lvl>
    <w:lvl w:ilvl="1" w:tplc="207818E2">
      <w:start w:val="1"/>
      <w:numFmt w:val="bullet"/>
      <w:lvlText w:val="o"/>
      <w:lvlJc w:val="left"/>
      <w:pPr>
        <w:tabs>
          <w:tab w:val="num" w:pos="1440"/>
        </w:tabs>
        <w:ind w:left="1440" w:hanging="360"/>
      </w:pPr>
      <w:rPr>
        <w:rFonts w:ascii="Courier New" w:hAnsi="Courier New"/>
      </w:rPr>
    </w:lvl>
    <w:lvl w:ilvl="2" w:tplc="F8B6E802">
      <w:start w:val="1"/>
      <w:numFmt w:val="bullet"/>
      <w:lvlText w:val=""/>
      <w:lvlJc w:val="left"/>
      <w:pPr>
        <w:tabs>
          <w:tab w:val="num" w:pos="2160"/>
        </w:tabs>
        <w:ind w:left="2160" w:hanging="360"/>
      </w:pPr>
      <w:rPr>
        <w:rFonts w:ascii="Wingdings" w:hAnsi="Wingdings"/>
      </w:rPr>
    </w:lvl>
    <w:lvl w:ilvl="3" w:tplc="1FCC5066">
      <w:start w:val="1"/>
      <w:numFmt w:val="bullet"/>
      <w:lvlText w:val=""/>
      <w:lvlJc w:val="left"/>
      <w:pPr>
        <w:tabs>
          <w:tab w:val="num" w:pos="2880"/>
        </w:tabs>
        <w:ind w:left="2880" w:hanging="360"/>
      </w:pPr>
      <w:rPr>
        <w:rFonts w:ascii="Symbol" w:hAnsi="Symbol"/>
      </w:rPr>
    </w:lvl>
    <w:lvl w:ilvl="4" w:tplc="E5F6CA60">
      <w:start w:val="1"/>
      <w:numFmt w:val="bullet"/>
      <w:lvlText w:val="o"/>
      <w:lvlJc w:val="left"/>
      <w:pPr>
        <w:tabs>
          <w:tab w:val="num" w:pos="3600"/>
        </w:tabs>
        <w:ind w:left="3600" w:hanging="360"/>
      </w:pPr>
      <w:rPr>
        <w:rFonts w:ascii="Courier New" w:hAnsi="Courier New"/>
      </w:rPr>
    </w:lvl>
    <w:lvl w:ilvl="5" w:tplc="56628360">
      <w:start w:val="1"/>
      <w:numFmt w:val="bullet"/>
      <w:lvlText w:val=""/>
      <w:lvlJc w:val="left"/>
      <w:pPr>
        <w:tabs>
          <w:tab w:val="num" w:pos="4320"/>
        </w:tabs>
        <w:ind w:left="4320" w:hanging="360"/>
      </w:pPr>
      <w:rPr>
        <w:rFonts w:ascii="Wingdings" w:hAnsi="Wingdings"/>
      </w:rPr>
    </w:lvl>
    <w:lvl w:ilvl="6" w:tplc="81B6880E">
      <w:start w:val="1"/>
      <w:numFmt w:val="bullet"/>
      <w:lvlText w:val=""/>
      <w:lvlJc w:val="left"/>
      <w:pPr>
        <w:tabs>
          <w:tab w:val="num" w:pos="5040"/>
        </w:tabs>
        <w:ind w:left="5040" w:hanging="360"/>
      </w:pPr>
      <w:rPr>
        <w:rFonts w:ascii="Symbol" w:hAnsi="Symbol"/>
      </w:rPr>
    </w:lvl>
    <w:lvl w:ilvl="7" w:tplc="EC9814F4">
      <w:start w:val="1"/>
      <w:numFmt w:val="bullet"/>
      <w:lvlText w:val="o"/>
      <w:lvlJc w:val="left"/>
      <w:pPr>
        <w:tabs>
          <w:tab w:val="num" w:pos="5760"/>
        </w:tabs>
        <w:ind w:left="5760" w:hanging="360"/>
      </w:pPr>
      <w:rPr>
        <w:rFonts w:ascii="Courier New" w:hAnsi="Courier New"/>
      </w:rPr>
    </w:lvl>
    <w:lvl w:ilvl="8" w:tplc="4F98E914">
      <w:start w:val="1"/>
      <w:numFmt w:val="bullet"/>
      <w:lvlText w:val=""/>
      <w:lvlJc w:val="left"/>
      <w:pPr>
        <w:tabs>
          <w:tab w:val="num" w:pos="6480"/>
        </w:tabs>
        <w:ind w:left="6480" w:hanging="360"/>
      </w:pPr>
      <w:rPr>
        <w:rFonts w:ascii="Wingdings" w:hAnsi="Wingdings"/>
      </w:rPr>
    </w:lvl>
  </w:abstractNum>
  <w:abstractNum w:abstractNumId="32">
    <w:nsid w:val="722304E2"/>
    <w:multiLevelType w:val="hybridMultilevel"/>
    <w:tmpl w:val="722304E2"/>
    <w:lvl w:ilvl="0" w:tplc="D8048998">
      <w:start w:val="1"/>
      <w:numFmt w:val="bullet"/>
      <w:lvlText w:val=""/>
      <w:lvlJc w:val="left"/>
      <w:pPr>
        <w:ind w:left="720" w:hanging="360"/>
      </w:pPr>
      <w:rPr>
        <w:rFonts w:ascii="Symbol" w:hAnsi="Symbol"/>
      </w:rPr>
    </w:lvl>
    <w:lvl w:ilvl="1" w:tplc="329A8724">
      <w:start w:val="1"/>
      <w:numFmt w:val="bullet"/>
      <w:lvlText w:val="o"/>
      <w:lvlJc w:val="left"/>
      <w:pPr>
        <w:tabs>
          <w:tab w:val="num" w:pos="1440"/>
        </w:tabs>
        <w:ind w:left="1440" w:hanging="360"/>
      </w:pPr>
      <w:rPr>
        <w:rFonts w:ascii="Courier New" w:hAnsi="Courier New"/>
      </w:rPr>
    </w:lvl>
    <w:lvl w:ilvl="2" w:tplc="DA3CC494">
      <w:start w:val="1"/>
      <w:numFmt w:val="bullet"/>
      <w:lvlText w:val=""/>
      <w:lvlJc w:val="left"/>
      <w:pPr>
        <w:tabs>
          <w:tab w:val="num" w:pos="2160"/>
        </w:tabs>
        <w:ind w:left="2160" w:hanging="360"/>
      </w:pPr>
      <w:rPr>
        <w:rFonts w:ascii="Wingdings" w:hAnsi="Wingdings"/>
      </w:rPr>
    </w:lvl>
    <w:lvl w:ilvl="3" w:tplc="0546B96A">
      <w:start w:val="1"/>
      <w:numFmt w:val="bullet"/>
      <w:lvlText w:val=""/>
      <w:lvlJc w:val="left"/>
      <w:pPr>
        <w:tabs>
          <w:tab w:val="num" w:pos="2880"/>
        </w:tabs>
        <w:ind w:left="2880" w:hanging="360"/>
      </w:pPr>
      <w:rPr>
        <w:rFonts w:ascii="Symbol" w:hAnsi="Symbol"/>
      </w:rPr>
    </w:lvl>
    <w:lvl w:ilvl="4" w:tplc="C72EC4FE">
      <w:start w:val="1"/>
      <w:numFmt w:val="bullet"/>
      <w:lvlText w:val="o"/>
      <w:lvlJc w:val="left"/>
      <w:pPr>
        <w:tabs>
          <w:tab w:val="num" w:pos="3600"/>
        </w:tabs>
        <w:ind w:left="3600" w:hanging="360"/>
      </w:pPr>
      <w:rPr>
        <w:rFonts w:ascii="Courier New" w:hAnsi="Courier New"/>
      </w:rPr>
    </w:lvl>
    <w:lvl w:ilvl="5" w:tplc="CEA4E5F8">
      <w:start w:val="1"/>
      <w:numFmt w:val="bullet"/>
      <w:lvlText w:val=""/>
      <w:lvlJc w:val="left"/>
      <w:pPr>
        <w:tabs>
          <w:tab w:val="num" w:pos="4320"/>
        </w:tabs>
        <w:ind w:left="4320" w:hanging="360"/>
      </w:pPr>
      <w:rPr>
        <w:rFonts w:ascii="Wingdings" w:hAnsi="Wingdings"/>
      </w:rPr>
    </w:lvl>
    <w:lvl w:ilvl="6" w:tplc="E35CFB96">
      <w:start w:val="1"/>
      <w:numFmt w:val="bullet"/>
      <w:lvlText w:val=""/>
      <w:lvlJc w:val="left"/>
      <w:pPr>
        <w:tabs>
          <w:tab w:val="num" w:pos="5040"/>
        </w:tabs>
        <w:ind w:left="5040" w:hanging="360"/>
      </w:pPr>
      <w:rPr>
        <w:rFonts w:ascii="Symbol" w:hAnsi="Symbol"/>
      </w:rPr>
    </w:lvl>
    <w:lvl w:ilvl="7" w:tplc="622483BE">
      <w:start w:val="1"/>
      <w:numFmt w:val="bullet"/>
      <w:lvlText w:val="o"/>
      <w:lvlJc w:val="left"/>
      <w:pPr>
        <w:tabs>
          <w:tab w:val="num" w:pos="5760"/>
        </w:tabs>
        <w:ind w:left="5760" w:hanging="360"/>
      </w:pPr>
      <w:rPr>
        <w:rFonts w:ascii="Courier New" w:hAnsi="Courier New"/>
      </w:rPr>
    </w:lvl>
    <w:lvl w:ilvl="8" w:tplc="B67067C4">
      <w:start w:val="1"/>
      <w:numFmt w:val="bullet"/>
      <w:lvlText w:val=""/>
      <w:lvlJc w:val="left"/>
      <w:pPr>
        <w:tabs>
          <w:tab w:val="num" w:pos="6480"/>
        </w:tabs>
        <w:ind w:left="6480" w:hanging="360"/>
      </w:pPr>
      <w:rPr>
        <w:rFonts w:ascii="Wingdings" w:hAnsi="Wingdings"/>
      </w:rPr>
    </w:lvl>
  </w:abstractNum>
  <w:abstractNum w:abstractNumId="33">
    <w:nsid w:val="722304E3"/>
    <w:multiLevelType w:val="hybridMultilevel"/>
    <w:tmpl w:val="722304E3"/>
    <w:lvl w:ilvl="0" w:tplc="1262A1A2">
      <w:start w:val="1"/>
      <w:numFmt w:val="bullet"/>
      <w:lvlText w:val=""/>
      <w:lvlJc w:val="left"/>
      <w:pPr>
        <w:ind w:left="720" w:hanging="360"/>
      </w:pPr>
      <w:rPr>
        <w:rFonts w:ascii="Symbol" w:hAnsi="Symbol"/>
      </w:rPr>
    </w:lvl>
    <w:lvl w:ilvl="1" w:tplc="3342B34E">
      <w:start w:val="1"/>
      <w:numFmt w:val="bullet"/>
      <w:lvlText w:val="o"/>
      <w:lvlJc w:val="left"/>
      <w:pPr>
        <w:tabs>
          <w:tab w:val="num" w:pos="1440"/>
        </w:tabs>
        <w:ind w:left="1440" w:hanging="360"/>
      </w:pPr>
      <w:rPr>
        <w:rFonts w:ascii="Courier New" w:hAnsi="Courier New"/>
      </w:rPr>
    </w:lvl>
    <w:lvl w:ilvl="2" w:tplc="5900D3AC">
      <w:start w:val="1"/>
      <w:numFmt w:val="bullet"/>
      <w:lvlText w:val=""/>
      <w:lvlJc w:val="left"/>
      <w:pPr>
        <w:tabs>
          <w:tab w:val="num" w:pos="2160"/>
        </w:tabs>
        <w:ind w:left="2160" w:hanging="360"/>
      </w:pPr>
      <w:rPr>
        <w:rFonts w:ascii="Wingdings" w:hAnsi="Wingdings"/>
      </w:rPr>
    </w:lvl>
    <w:lvl w:ilvl="3" w:tplc="1E7830DC">
      <w:start w:val="1"/>
      <w:numFmt w:val="bullet"/>
      <w:lvlText w:val=""/>
      <w:lvlJc w:val="left"/>
      <w:pPr>
        <w:tabs>
          <w:tab w:val="num" w:pos="2880"/>
        </w:tabs>
        <w:ind w:left="2880" w:hanging="360"/>
      </w:pPr>
      <w:rPr>
        <w:rFonts w:ascii="Symbol" w:hAnsi="Symbol"/>
      </w:rPr>
    </w:lvl>
    <w:lvl w:ilvl="4" w:tplc="D6E6B0E2">
      <w:start w:val="1"/>
      <w:numFmt w:val="bullet"/>
      <w:lvlText w:val="o"/>
      <w:lvlJc w:val="left"/>
      <w:pPr>
        <w:tabs>
          <w:tab w:val="num" w:pos="3600"/>
        </w:tabs>
        <w:ind w:left="3600" w:hanging="360"/>
      </w:pPr>
      <w:rPr>
        <w:rFonts w:ascii="Courier New" w:hAnsi="Courier New"/>
      </w:rPr>
    </w:lvl>
    <w:lvl w:ilvl="5" w:tplc="7242C4BC">
      <w:start w:val="1"/>
      <w:numFmt w:val="bullet"/>
      <w:lvlText w:val=""/>
      <w:lvlJc w:val="left"/>
      <w:pPr>
        <w:tabs>
          <w:tab w:val="num" w:pos="4320"/>
        </w:tabs>
        <w:ind w:left="4320" w:hanging="360"/>
      </w:pPr>
      <w:rPr>
        <w:rFonts w:ascii="Wingdings" w:hAnsi="Wingdings"/>
      </w:rPr>
    </w:lvl>
    <w:lvl w:ilvl="6" w:tplc="FB105B9A">
      <w:start w:val="1"/>
      <w:numFmt w:val="bullet"/>
      <w:lvlText w:val=""/>
      <w:lvlJc w:val="left"/>
      <w:pPr>
        <w:tabs>
          <w:tab w:val="num" w:pos="5040"/>
        </w:tabs>
        <w:ind w:left="5040" w:hanging="360"/>
      </w:pPr>
      <w:rPr>
        <w:rFonts w:ascii="Symbol" w:hAnsi="Symbol"/>
      </w:rPr>
    </w:lvl>
    <w:lvl w:ilvl="7" w:tplc="9EBADA9C">
      <w:start w:val="1"/>
      <w:numFmt w:val="bullet"/>
      <w:lvlText w:val="o"/>
      <w:lvlJc w:val="left"/>
      <w:pPr>
        <w:tabs>
          <w:tab w:val="num" w:pos="5760"/>
        </w:tabs>
        <w:ind w:left="5760" w:hanging="360"/>
      </w:pPr>
      <w:rPr>
        <w:rFonts w:ascii="Courier New" w:hAnsi="Courier New"/>
      </w:rPr>
    </w:lvl>
    <w:lvl w:ilvl="8" w:tplc="54C47C8A">
      <w:start w:val="1"/>
      <w:numFmt w:val="bullet"/>
      <w:lvlText w:val=""/>
      <w:lvlJc w:val="left"/>
      <w:pPr>
        <w:tabs>
          <w:tab w:val="num" w:pos="6480"/>
        </w:tabs>
        <w:ind w:left="6480" w:hanging="360"/>
      </w:pPr>
      <w:rPr>
        <w:rFonts w:ascii="Wingdings" w:hAnsi="Wingdings"/>
      </w:rPr>
    </w:lvl>
  </w:abstractNum>
  <w:abstractNum w:abstractNumId="34">
    <w:nsid w:val="722304E4"/>
    <w:multiLevelType w:val="hybridMultilevel"/>
    <w:tmpl w:val="722304E4"/>
    <w:lvl w:ilvl="0" w:tplc="5B0C4D84">
      <w:start w:val="1"/>
      <w:numFmt w:val="bullet"/>
      <w:lvlText w:val=""/>
      <w:lvlJc w:val="left"/>
      <w:pPr>
        <w:ind w:left="720" w:hanging="360"/>
      </w:pPr>
      <w:rPr>
        <w:rFonts w:ascii="Symbol" w:hAnsi="Symbol"/>
      </w:rPr>
    </w:lvl>
    <w:lvl w:ilvl="1" w:tplc="58D2EE4E">
      <w:start w:val="1"/>
      <w:numFmt w:val="bullet"/>
      <w:lvlText w:val="o"/>
      <w:lvlJc w:val="left"/>
      <w:pPr>
        <w:tabs>
          <w:tab w:val="num" w:pos="1440"/>
        </w:tabs>
        <w:ind w:left="1440" w:hanging="360"/>
      </w:pPr>
      <w:rPr>
        <w:rFonts w:ascii="Courier New" w:hAnsi="Courier New"/>
      </w:rPr>
    </w:lvl>
    <w:lvl w:ilvl="2" w:tplc="E3CE148C">
      <w:start w:val="1"/>
      <w:numFmt w:val="bullet"/>
      <w:lvlText w:val=""/>
      <w:lvlJc w:val="left"/>
      <w:pPr>
        <w:tabs>
          <w:tab w:val="num" w:pos="2160"/>
        </w:tabs>
        <w:ind w:left="2160" w:hanging="360"/>
      </w:pPr>
      <w:rPr>
        <w:rFonts w:ascii="Wingdings" w:hAnsi="Wingdings"/>
      </w:rPr>
    </w:lvl>
    <w:lvl w:ilvl="3" w:tplc="B5BEB54C">
      <w:start w:val="1"/>
      <w:numFmt w:val="bullet"/>
      <w:lvlText w:val=""/>
      <w:lvlJc w:val="left"/>
      <w:pPr>
        <w:tabs>
          <w:tab w:val="num" w:pos="2880"/>
        </w:tabs>
        <w:ind w:left="2880" w:hanging="360"/>
      </w:pPr>
      <w:rPr>
        <w:rFonts w:ascii="Symbol" w:hAnsi="Symbol"/>
      </w:rPr>
    </w:lvl>
    <w:lvl w:ilvl="4" w:tplc="AF5E486A">
      <w:start w:val="1"/>
      <w:numFmt w:val="bullet"/>
      <w:lvlText w:val="o"/>
      <w:lvlJc w:val="left"/>
      <w:pPr>
        <w:tabs>
          <w:tab w:val="num" w:pos="3600"/>
        </w:tabs>
        <w:ind w:left="3600" w:hanging="360"/>
      </w:pPr>
      <w:rPr>
        <w:rFonts w:ascii="Courier New" w:hAnsi="Courier New"/>
      </w:rPr>
    </w:lvl>
    <w:lvl w:ilvl="5" w:tplc="95E63D9A">
      <w:start w:val="1"/>
      <w:numFmt w:val="bullet"/>
      <w:lvlText w:val=""/>
      <w:lvlJc w:val="left"/>
      <w:pPr>
        <w:tabs>
          <w:tab w:val="num" w:pos="4320"/>
        </w:tabs>
        <w:ind w:left="4320" w:hanging="360"/>
      </w:pPr>
      <w:rPr>
        <w:rFonts w:ascii="Wingdings" w:hAnsi="Wingdings"/>
      </w:rPr>
    </w:lvl>
    <w:lvl w:ilvl="6" w:tplc="BA18C304">
      <w:start w:val="1"/>
      <w:numFmt w:val="bullet"/>
      <w:lvlText w:val=""/>
      <w:lvlJc w:val="left"/>
      <w:pPr>
        <w:tabs>
          <w:tab w:val="num" w:pos="5040"/>
        </w:tabs>
        <w:ind w:left="5040" w:hanging="360"/>
      </w:pPr>
      <w:rPr>
        <w:rFonts w:ascii="Symbol" w:hAnsi="Symbol"/>
      </w:rPr>
    </w:lvl>
    <w:lvl w:ilvl="7" w:tplc="15FA9682">
      <w:start w:val="1"/>
      <w:numFmt w:val="bullet"/>
      <w:lvlText w:val="o"/>
      <w:lvlJc w:val="left"/>
      <w:pPr>
        <w:tabs>
          <w:tab w:val="num" w:pos="5760"/>
        </w:tabs>
        <w:ind w:left="5760" w:hanging="360"/>
      </w:pPr>
      <w:rPr>
        <w:rFonts w:ascii="Courier New" w:hAnsi="Courier New"/>
      </w:rPr>
    </w:lvl>
    <w:lvl w:ilvl="8" w:tplc="6F5ECB56">
      <w:start w:val="1"/>
      <w:numFmt w:val="bullet"/>
      <w:lvlText w:val=""/>
      <w:lvlJc w:val="left"/>
      <w:pPr>
        <w:tabs>
          <w:tab w:val="num" w:pos="6480"/>
        </w:tabs>
        <w:ind w:left="6480" w:hanging="360"/>
      </w:pPr>
      <w:rPr>
        <w:rFonts w:ascii="Wingdings" w:hAnsi="Wingdings"/>
      </w:rPr>
    </w:lvl>
  </w:abstractNum>
  <w:abstractNum w:abstractNumId="35">
    <w:nsid w:val="722304E5"/>
    <w:multiLevelType w:val="hybridMultilevel"/>
    <w:tmpl w:val="722304E5"/>
    <w:lvl w:ilvl="0" w:tplc="FC808436">
      <w:start w:val="1"/>
      <w:numFmt w:val="bullet"/>
      <w:lvlText w:val=""/>
      <w:lvlJc w:val="left"/>
      <w:pPr>
        <w:ind w:left="720" w:hanging="360"/>
      </w:pPr>
      <w:rPr>
        <w:rFonts w:ascii="Symbol" w:hAnsi="Symbol"/>
      </w:rPr>
    </w:lvl>
    <w:lvl w:ilvl="1" w:tplc="79B0ECB6">
      <w:start w:val="1"/>
      <w:numFmt w:val="bullet"/>
      <w:lvlText w:val="o"/>
      <w:lvlJc w:val="left"/>
      <w:pPr>
        <w:tabs>
          <w:tab w:val="num" w:pos="1440"/>
        </w:tabs>
        <w:ind w:left="1440" w:hanging="360"/>
      </w:pPr>
      <w:rPr>
        <w:rFonts w:ascii="Courier New" w:hAnsi="Courier New"/>
      </w:rPr>
    </w:lvl>
    <w:lvl w:ilvl="2" w:tplc="A27AC7F6">
      <w:start w:val="1"/>
      <w:numFmt w:val="bullet"/>
      <w:lvlText w:val=""/>
      <w:lvlJc w:val="left"/>
      <w:pPr>
        <w:tabs>
          <w:tab w:val="num" w:pos="2160"/>
        </w:tabs>
        <w:ind w:left="2160" w:hanging="360"/>
      </w:pPr>
      <w:rPr>
        <w:rFonts w:ascii="Wingdings" w:hAnsi="Wingdings"/>
      </w:rPr>
    </w:lvl>
    <w:lvl w:ilvl="3" w:tplc="D892E210">
      <w:start w:val="1"/>
      <w:numFmt w:val="bullet"/>
      <w:lvlText w:val=""/>
      <w:lvlJc w:val="left"/>
      <w:pPr>
        <w:tabs>
          <w:tab w:val="num" w:pos="2880"/>
        </w:tabs>
        <w:ind w:left="2880" w:hanging="360"/>
      </w:pPr>
      <w:rPr>
        <w:rFonts w:ascii="Symbol" w:hAnsi="Symbol"/>
      </w:rPr>
    </w:lvl>
    <w:lvl w:ilvl="4" w:tplc="05D4D3DE">
      <w:start w:val="1"/>
      <w:numFmt w:val="bullet"/>
      <w:lvlText w:val="o"/>
      <w:lvlJc w:val="left"/>
      <w:pPr>
        <w:tabs>
          <w:tab w:val="num" w:pos="3600"/>
        </w:tabs>
        <w:ind w:left="3600" w:hanging="360"/>
      </w:pPr>
      <w:rPr>
        <w:rFonts w:ascii="Courier New" w:hAnsi="Courier New"/>
      </w:rPr>
    </w:lvl>
    <w:lvl w:ilvl="5" w:tplc="A6AA6BFC">
      <w:start w:val="1"/>
      <w:numFmt w:val="bullet"/>
      <w:lvlText w:val=""/>
      <w:lvlJc w:val="left"/>
      <w:pPr>
        <w:tabs>
          <w:tab w:val="num" w:pos="4320"/>
        </w:tabs>
        <w:ind w:left="4320" w:hanging="360"/>
      </w:pPr>
      <w:rPr>
        <w:rFonts w:ascii="Wingdings" w:hAnsi="Wingdings"/>
      </w:rPr>
    </w:lvl>
    <w:lvl w:ilvl="6" w:tplc="FE64EC2C">
      <w:start w:val="1"/>
      <w:numFmt w:val="bullet"/>
      <w:lvlText w:val=""/>
      <w:lvlJc w:val="left"/>
      <w:pPr>
        <w:tabs>
          <w:tab w:val="num" w:pos="5040"/>
        </w:tabs>
        <w:ind w:left="5040" w:hanging="360"/>
      </w:pPr>
      <w:rPr>
        <w:rFonts w:ascii="Symbol" w:hAnsi="Symbol"/>
      </w:rPr>
    </w:lvl>
    <w:lvl w:ilvl="7" w:tplc="E81E49E8">
      <w:start w:val="1"/>
      <w:numFmt w:val="bullet"/>
      <w:lvlText w:val="o"/>
      <w:lvlJc w:val="left"/>
      <w:pPr>
        <w:tabs>
          <w:tab w:val="num" w:pos="5760"/>
        </w:tabs>
        <w:ind w:left="5760" w:hanging="360"/>
      </w:pPr>
      <w:rPr>
        <w:rFonts w:ascii="Courier New" w:hAnsi="Courier New"/>
      </w:rPr>
    </w:lvl>
    <w:lvl w:ilvl="8" w:tplc="BD04C778">
      <w:start w:val="1"/>
      <w:numFmt w:val="bullet"/>
      <w:lvlText w:val=""/>
      <w:lvlJc w:val="left"/>
      <w:pPr>
        <w:tabs>
          <w:tab w:val="num" w:pos="6480"/>
        </w:tabs>
        <w:ind w:left="6480" w:hanging="360"/>
      </w:pPr>
      <w:rPr>
        <w:rFonts w:ascii="Wingdings" w:hAnsi="Wingdings"/>
      </w:rPr>
    </w:lvl>
  </w:abstractNum>
  <w:abstractNum w:abstractNumId="36">
    <w:nsid w:val="722304E6"/>
    <w:multiLevelType w:val="hybridMultilevel"/>
    <w:tmpl w:val="722304E6"/>
    <w:lvl w:ilvl="0" w:tplc="DB4219BC">
      <w:start w:val="1"/>
      <w:numFmt w:val="bullet"/>
      <w:lvlText w:val=""/>
      <w:lvlJc w:val="left"/>
      <w:pPr>
        <w:ind w:left="720" w:hanging="360"/>
      </w:pPr>
      <w:rPr>
        <w:rFonts w:ascii="Symbol" w:hAnsi="Symbol"/>
      </w:rPr>
    </w:lvl>
    <w:lvl w:ilvl="1" w:tplc="A7BC4AAA">
      <w:start w:val="1"/>
      <w:numFmt w:val="bullet"/>
      <w:lvlText w:val="o"/>
      <w:lvlJc w:val="left"/>
      <w:pPr>
        <w:tabs>
          <w:tab w:val="num" w:pos="1440"/>
        </w:tabs>
        <w:ind w:left="1440" w:hanging="360"/>
      </w:pPr>
      <w:rPr>
        <w:rFonts w:ascii="Courier New" w:hAnsi="Courier New"/>
      </w:rPr>
    </w:lvl>
    <w:lvl w:ilvl="2" w:tplc="B8564708">
      <w:start w:val="1"/>
      <w:numFmt w:val="bullet"/>
      <w:lvlText w:val=""/>
      <w:lvlJc w:val="left"/>
      <w:pPr>
        <w:tabs>
          <w:tab w:val="num" w:pos="2160"/>
        </w:tabs>
        <w:ind w:left="2160" w:hanging="360"/>
      </w:pPr>
      <w:rPr>
        <w:rFonts w:ascii="Wingdings" w:hAnsi="Wingdings"/>
      </w:rPr>
    </w:lvl>
    <w:lvl w:ilvl="3" w:tplc="79B0C104">
      <w:start w:val="1"/>
      <w:numFmt w:val="bullet"/>
      <w:lvlText w:val=""/>
      <w:lvlJc w:val="left"/>
      <w:pPr>
        <w:tabs>
          <w:tab w:val="num" w:pos="2880"/>
        </w:tabs>
        <w:ind w:left="2880" w:hanging="360"/>
      </w:pPr>
      <w:rPr>
        <w:rFonts w:ascii="Symbol" w:hAnsi="Symbol"/>
      </w:rPr>
    </w:lvl>
    <w:lvl w:ilvl="4" w:tplc="7286F3E0">
      <w:start w:val="1"/>
      <w:numFmt w:val="bullet"/>
      <w:lvlText w:val="o"/>
      <w:lvlJc w:val="left"/>
      <w:pPr>
        <w:tabs>
          <w:tab w:val="num" w:pos="3600"/>
        </w:tabs>
        <w:ind w:left="3600" w:hanging="360"/>
      </w:pPr>
      <w:rPr>
        <w:rFonts w:ascii="Courier New" w:hAnsi="Courier New"/>
      </w:rPr>
    </w:lvl>
    <w:lvl w:ilvl="5" w:tplc="6102E5A6">
      <w:start w:val="1"/>
      <w:numFmt w:val="bullet"/>
      <w:lvlText w:val=""/>
      <w:lvlJc w:val="left"/>
      <w:pPr>
        <w:tabs>
          <w:tab w:val="num" w:pos="4320"/>
        </w:tabs>
        <w:ind w:left="4320" w:hanging="360"/>
      </w:pPr>
      <w:rPr>
        <w:rFonts w:ascii="Wingdings" w:hAnsi="Wingdings"/>
      </w:rPr>
    </w:lvl>
    <w:lvl w:ilvl="6" w:tplc="AECC5D9E">
      <w:start w:val="1"/>
      <w:numFmt w:val="bullet"/>
      <w:lvlText w:val=""/>
      <w:lvlJc w:val="left"/>
      <w:pPr>
        <w:tabs>
          <w:tab w:val="num" w:pos="5040"/>
        </w:tabs>
        <w:ind w:left="5040" w:hanging="360"/>
      </w:pPr>
      <w:rPr>
        <w:rFonts w:ascii="Symbol" w:hAnsi="Symbol"/>
      </w:rPr>
    </w:lvl>
    <w:lvl w:ilvl="7" w:tplc="E794BC7E">
      <w:start w:val="1"/>
      <w:numFmt w:val="bullet"/>
      <w:lvlText w:val="o"/>
      <w:lvlJc w:val="left"/>
      <w:pPr>
        <w:tabs>
          <w:tab w:val="num" w:pos="5760"/>
        </w:tabs>
        <w:ind w:left="5760" w:hanging="360"/>
      </w:pPr>
      <w:rPr>
        <w:rFonts w:ascii="Courier New" w:hAnsi="Courier New"/>
      </w:rPr>
    </w:lvl>
    <w:lvl w:ilvl="8" w:tplc="A0E026BC">
      <w:start w:val="1"/>
      <w:numFmt w:val="bullet"/>
      <w:lvlText w:val=""/>
      <w:lvlJc w:val="left"/>
      <w:pPr>
        <w:tabs>
          <w:tab w:val="num" w:pos="6480"/>
        </w:tabs>
        <w:ind w:left="6480" w:hanging="360"/>
      </w:pPr>
      <w:rPr>
        <w:rFonts w:ascii="Wingdings" w:hAnsi="Wingdings"/>
      </w:rPr>
    </w:lvl>
  </w:abstractNum>
  <w:abstractNum w:abstractNumId="37">
    <w:nsid w:val="722304E7"/>
    <w:multiLevelType w:val="hybridMultilevel"/>
    <w:tmpl w:val="722304E7"/>
    <w:lvl w:ilvl="0" w:tplc="2E22354E">
      <w:start w:val="1"/>
      <w:numFmt w:val="bullet"/>
      <w:lvlText w:val=""/>
      <w:lvlJc w:val="left"/>
      <w:pPr>
        <w:ind w:left="720" w:hanging="360"/>
      </w:pPr>
      <w:rPr>
        <w:rFonts w:ascii="Symbol" w:hAnsi="Symbol"/>
      </w:rPr>
    </w:lvl>
    <w:lvl w:ilvl="1" w:tplc="3AC8861A">
      <w:start w:val="1"/>
      <w:numFmt w:val="bullet"/>
      <w:lvlText w:val="o"/>
      <w:lvlJc w:val="left"/>
      <w:pPr>
        <w:tabs>
          <w:tab w:val="num" w:pos="1440"/>
        </w:tabs>
        <w:ind w:left="1440" w:hanging="360"/>
      </w:pPr>
      <w:rPr>
        <w:rFonts w:ascii="Courier New" w:hAnsi="Courier New"/>
      </w:rPr>
    </w:lvl>
    <w:lvl w:ilvl="2" w:tplc="15628E2C">
      <w:start w:val="1"/>
      <w:numFmt w:val="bullet"/>
      <w:lvlText w:val=""/>
      <w:lvlJc w:val="left"/>
      <w:pPr>
        <w:tabs>
          <w:tab w:val="num" w:pos="2160"/>
        </w:tabs>
        <w:ind w:left="2160" w:hanging="360"/>
      </w:pPr>
      <w:rPr>
        <w:rFonts w:ascii="Wingdings" w:hAnsi="Wingdings"/>
      </w:rPr>
    </w:lvl>
    <w:lvl w:ilvl="3" w:tplc="D3F4B44C">
      <w:start w:val="1"/>
      <w:numFmt w:val="bullet"/>
      <w:lvlText w:val=""/>
      <w:lvlJc w:val="left"/>
      <w:pPr>
        <w:tabs>
          <w:tab w:val="num" w:pos="2880"/>
        </w:tabs>
        <w:ind w:left="2880" w:hanging="360"/>
      </w:pPr>
      <w:rPr>
        <w:rFonts w:ascii="Symbol" w:hAnsi="Symbol"/>
      </w:rPr>
    </w:lvl>
    <w:lvl w:ilvl="4" w:tplc="70AE5470">
      <w:start w:val="1"/>
      <w:numFmt w:val="bullet"/>
      <w:lvlText w:val="o"/>
      <w:lvlJc w:val="left"/>
      <w:pPr>
        <w:tabs>
          <w:tab w:val="num" w:pos="3600"/>
        </w:tabs>
        <w:ind w:left="3600" w:hanging="360"/>
      </w:pPr>
      <w:rPr>
        <w:rFonts w:ascii="Courier New" w:hAnsi="Courier New"/>
      </w:rPr>
    </w:lvl>
    <w:lvl w:ilvl="5" w:tplc="AE323722">
      <w:start w:val="1"/>
      <w:numFmt w:val="bullet"/>
      <w:lvlText w:val=""/>
      <w:lvlJc w:val="left"/>
      <w:pPr>
        <w:tabs>
          <w:tab w:val="num" w:pos="4320"/>
        </w:tabs>
        <w:ind w:left="4320" w:hanging="360"/>
      </w:pPr>
      <w:rPr>
        <w:rFonts w:ascii="Wingdings" w:hAnsi="Wingdings"/>
      </w:rPr>
    </w:lvl>
    <w:lvl w:ilvl="6" w:tplc="834466DA">
      <w:start w:val="1"/>
      <w:numFmt w:val="bullet"/>
      <w:lvlText w:val=""/>
      <w:lvlJc w:val="left"/>
      <w:pPr>
        <w:tabs>
          <w:tab w:val="num" w:pos="5040"/>
        </w:tabs>
        <w:ind w:left="5040" w:hanging="360"/>
      </w:pPr>
      <w:rPr>
        <w:rFonts w:ascii="Symbol" w:hAnsi="Symbol"/>
      </w:rPr>
    </w:lvl>
    <w:lvl w:ilvl="7" w:tplc="46522B0C">
      <w:start w:val="1"/>
      <w:numFmt w:val="bullet"/>
      <w:lvlText w:val="o"/>
      <w:lvlJc w:val="left"/>
      <w:pPr>
        <w:tabs>
          <w:tab w:val="num" w:pos="5760"/>
        </w:tabs>
        <w:ind w:left="5760" w:hanging="360"/>
      </w:pPr>
      <w:rPr>
        <w:rFonts w:ascii="Courier New" w:hAnsi="Courier New"/>
      </w:rPr>
    </w:lvl>
    <w:lvl w:ilvl="8" w:tplc="BE3EF99E">
      <w:start w:val="1"/>
      <w:numFmt w:val="bullet"/>
      <w:lvlText w:val=""/>
      <w:lvlJc w:val="left"/>
      <w:pPr>
        <w:tabs>
          <w:tab w:val="num" w:pos="6480"/>
        </w:tabs>
        <w:ind w:left="6480" w:hanging="360"/>
      </w:pPr>
      <w:rPr>
        <w:rFonts w:ascii="Wingdings" w:hAnsi="Wingdings"/>
      </w:rPr>
    </w:lvl>
  </w:abstractNum>
  <w:abstractNum w:abstractNumId="38">
    <w:nsid w:val="722304E8"/>
    <w:multiLevelType w:val="hybridMultilevel"/>
    <w:tmpl w:val="722304E8"/>
    <w:lvl w:ilvl="0" w:tplc="B046DC74">
      <w:start w:val="1"/>
      <w:numFmt w:val="bullet"/>
      <w:lvlText w:val=""/>
      <w:lvlJc w:val="left"/>
      <w:pPr>
        <w:ind w:left="720" w:hanging="360"/>
      </w:pPr>
      <w:rPr>
        <w:rFonts w:ascii="Symbol" w:hAnsi="Symbol"/>
      </w:rPr>
    </w:lvl>
    <w:lvl w:ilvl="1" w:tplc="ED4C1DEE">
      <w:start w:val="1"/>
      <w:numFmt w:val="bullet"/>
      <w:lvlText w:val="o"/>
      <w:lvlJc w:val="left"/>
      <w:pPr>
        <w:tabs>
          <w:tab w:val="num" w:pos="1440"/>
        </w:tabs>
        <w:ind w:left="1440" w:hanging="360"/>
      </w:pPr>
      <w:rPr>
        <w:rFonts w:ascii="Courier New" w:hAnsi="Courier New"/>
      </w:rPr>
    </w:lvl>
    <w:lvl w:ilvl="2" w:tplc="BF3C13A6">
      <w:start w:val="1"/>
      <w:numFmt w:val="bullet"/>
      <w:lvlText w:val=""/>
      <w:lvlJc w:val="left"/>
      <w:pPr>
        <w:tabs>
          <w:tab w:val="num" w:pos="2160"/>
        </w:tabs>
        <w:ind w:left="2160" w:hanging="360"/>
      </w:pPr>
      <w:rPr>
        <w:rFonts w:ascii="Wingdings" w:hAnsi="Wingdings"/>
      </w:rPr>
    </w:lvl>
    <w:lvl w:ilvl="3" w:tplc="26FAA9AC">
      <w:start w:val="1"/>
      <w:numFmt w:val="bullet"/>
      <w:lvlText w:val=""/>
      <w:lvlJc w:val="left"/>
      <w:pPr>
        <w:tabs>
          <w:tab w:val="num" w:pos="2880"/>
        </w:tabs>
        <w:ind w:left="2880" w:hanging="360"/>
      </w:pPr>
      <w:rPr>
        <w:rFonts w:ascii="Symbol" w:hAnsi="Symbol"/>
      </w:rPr>
    </w:lvl>
    <w:lvl w:ilvl="4" w:tplc="C48CD0CA">
      <w:start w:val="1"/>
      <w:numFmt w:val="bullet"/>
      <w:lvlText w:val="o"/>
      <w:lvlJc w:val="left"/>
      <w:pPr>
        <w:tabs>
          <w:tab w:val="num" w:pos="3600"/>
        </w:tabs>
        <w:ind w:left="3600" w:hanging="360"/>
      </w:pPr>
      <w:rPr>
        <w:rFonts w:ascii="Courier New" w:hAnsi="Courier New"/>
      </w:rPr>
    </w:lvl>
    <w:lvl w:ilvl="5" w:tplc="7EE6BCDA">
      <w:start w:val="1"/>
      <w:numFmt w:val="bullet"/>
      <w:lvlText w:val=""/>
      <w:lvlJc w:val="left"/>
      <w:pPr>
        <w:tabs>
          <w:tab w:val="num" w:pos="4320"/>
        </w:tabs>
        <w:ind w:left="4320" w:hanging="360"/>
      </w:pPr>
      <w:rPr>
        <w:rFonts w:ascii="Wingdings" w:hAnsi="Wingdings"/>
      </w:rPr>
    </w:lvl>
    <w:lvl w:ilvl="6" w:tplc="80B88354">
      <w:start w:val="1"/>
      <w:numFmt w:val="bullet"/>
      <w:lvlText w:val=""/>
      <w:lvlJc w:val="left"/>
      <w:pPr>
        <w:tabs>
          <w:tab w:val="num" w:pos="5040"/>
        </w:tabs>
        <w:ind w:left="5040" w:hanging="360"/>
      </w:pPr>
      <w:rPr>
        <w:rFonts w:ascii="Symbol" w:hAnsi="Symbol"/>
      </w:rPr>
    </w:lvl>
    <w:lvl w:ilvl="7" w:tplc="B9A6937A">
      <w:start w:val="1"/>
      <w:numFmt w:val="bullet"/>
      <w:lvlText w:val="o"/>
      <w:lvlJc w:val="left"/>
      <w:pPr>
        <w:tabs>
          <w:tab w:val="num" w:pos="5760"/>
        </w:tabs>
        <w:ind w:left="5760" w:hanging="360"/>
      </w:pPr>
      <w:rPr>
        <w:rFonts w:ascii="Courier New" w:hAnsi="Courier New"/>
      </w:rPr>
    </w:lvl>
    <w:lvl w:ilvl="8" w:tplc="385C9610">
      <w:start w:val="1"/>
      <w:numFmt w:val="bullet"/>
      <w:lvlText w:val=""/>
      <w:lvlJc w:val="left"/>
      <w:pPr>
        <w:tabs>
          <w:tab w:val="num" w:pos="6480"/>
        </w:tabs>
        <w:ind w:left="6480" w:hanging="360"/>
      </w:pPr>
      <w:rPr>
        <w:rFonts w:ascii="Wingdings" w:hAnsi="Wingdings"/>
      </w:rPr>
    </w:lvl>
  </w:abstractNum>
  <w:abstractNum w:abstractNumId="39">
    <w:nsid w:val="722304E9"/>
    <w:multiLevelType w:val="hybridMultilevel"/>
    <w:tmpl w:val="722304E9"/>
    <w:lvl w:ilvl="0" w:tplc="C0724DBE">
      <w:start w:val="1"/>
      <w:numFmt w:val="bullet"/>
      <w:lvlText w:val=""/>
      <w:lvlJc w:val="left"/>
      <w:pPr>
        <w:ind w:left="720" w:hanging="360"/>
      </w:pPr>
      <w:rPr>
        <w:rFonts w:ascii="Symbol" w:hAnsi="Symbol"/>
      </w:rPr>
    </w:lvl>
    <w:lvl w:ilvl="1" w:tplc="DCB24EB8">
      <w:start w:val="1"/>
      <w:numFmt w:val="bullet"/>
      <w:lvlText w:val="o"/>
      <w:lvlJc w:val="left"/>
      <w:pPr>
        <w:tabs>
          <w:tab w:val="num" w:pos="1440"/>
        </w:tabs>
        <w:ind w:left="1440" w:hanging="360"/>
      </w:pPr>
      <w:rPr>
        <w:rFonts w:ascii="Courier New" w:hAnsi="Courier New"/>
      </w:rPr>
    </w:lvl>
    <w:lvl w:ilvl="2" w:tplc="4FD03450">
      <w:start w:val="1"/>
      <w:numFmt w:val="bullet"/>
      <w:lvlText w:val=""/>
      <w:lvlJc w:val="left"/>
      <w:pPr>
        <w:tabs>
          <w:tab w:val="num" w:pos="2160"/>
        </w:tabs>
        <w:ind w:left="2160" w:hanging="360"/>
      </w:pPr>
      <w:rPr>
        <w:rFonts w:ascii="Wingdings" w:hAnsi="Wingdings"/>
      </w:rPr>
    </w:lvl>
    <w:lvl w:ilvl="3" w:tplc="415E3860">
      <w:start w:val="1"/>
      <w:numFmt w:val="bullet"/>
      <w:lvlText w:val=""/>
      <w:lvlJc w:val="left"/>
      <w:pPr>
        <w:tabs>
          <w:tab w:val="num" w:pos="2880"/>
        </w:tabs>
        <w:ind w:left="2880" w:hanging="360"/>
      </w:pPr>
      <w:rPr>
        <w:rFonts w:ascii="Symbol" w:hAnsi="Symbol"/>
      </w:rPr>
    </w:lvl>
    <w:lvl w:ilvl="4" w:tplc="17CEBB68">
      <w:start w:val="1"/>
      <w:numFmt w:val="bullet"/>
      <w:lvlText w:val="o"/>
      <w:lvlJc w:val="left"/>
      <w:pPr>
        <w:tabs>
          <w:tab w:val="num" w:pos="3600"/>
        </w:tabs>
        <w:ind w:left="3600" w:hanging="360"/>
      </w:pPr>
      <w:rPr>
        <w:rFonts w:ascii="Courier New" w:hAnsi="Courier New"/>
      </w:rPr>
    </w:lvl>
    <w:lvl w:ilvl="5" w:tplc="052CD4EE">
      <w:start w:val="1"/>
      <w:numFmt w:val="bullet"/>
      <w:lvlText w:val=""/>
      <w:lvlJc w:val="left"/>
      <w:pPr>
        <w:tabs>
          <w:tab w:val="num" w:pos="4320"/>
        </w:tabs>
        <w:ind w:left="4320" w:hanging="360"/>
      </w:pPr>
      <w:rPr>
        <w:rFonts w:ascii="Wingdings" w:hAnsi="Wingdings"/>
      </w:rPr>
    </w:lvl>
    <w:lvl w:ilvl="6" w:tplc="2A882E36">
      <w:start w:val="1"/>
      <w:numFmt w:val="bullet"/>
      <w:lvlText w:val=""/>
      <w:lvlJc w:val="left"/>
      <w:pPr>
        <w:tabs>
          <w:tab w:val="num" w:pos="5040"/>
        </w:tabs>
        <w:ind w:left="5040" w:hanging="360"/>
      </w:pPr>
      <w:rPr>
        <w:rFonts w:ascii="Symbol" w:hAnsi="Symbol"/>
      </w:rPr>
    </w:lvl>
    <w:lvl w:ilvl="7" w:tplc="2CA04EDA">
      <w:start w:val="1"/>
      <w:numFmt w:val="bullet"/>
      <w:lvlText w:val="o"/>
      <w:lvlJc w:val="left"/>
      <w:pPr>
        <w:tabs>
          <w:tab w:val="num" w:pos="5760"/>
        </w:tabs>
        <w:ind w:left="5760" w:hanging="360"/>
      </w:pPr>
      <w:rPr>
        <w:rFonts w:ascii="Courier New" w:hAnsi="Courier New"/>
      </w:rPr>
    </w:lvl>
    <w:lvl w:ilvl="8" w:tplc="8F52AE12">
      <w:start w:val="1"/>
      <w:numFmt w:val="bullet"/>
      <w:lvlText w:val=""/>
      <w:lvlJc w:val="left"/>
      <w:pPr>
        <w:tabs>
          <w:tab w:val="num" w:pos="6480"/>
        </w:tabs>
        <w:ind w:left="6480" w:hanging="360"/>
      </w:pPr>
      <w:rPr>
        <w:rFonts w:ascii="Wingdings" w:hAnsi="Wingdings"/>
      </w:rPr>
    </w:lvl>
  </w:abstractNum>
  <w:abstractNum w:abstractNumId="40">
    <w:nsid w:val="722304EA"/>
    <w:multiLevelType w:val="hybridMultilevel"/>
    <w:tmpl w:val="722304EA"/>
    <w:lvl w:ilvl="0" w:tplc="25466EAA">
      <w:start w:val="1"/>
      <w:numFmt w:val="bullet"/>
      <w:lvlText w:val=""/>
      <w:lvlJc w:val="left"/>
      <w:pPr>
        <w:ind w:left="720" w:hanging="360"/>
      </w:pPr>
      <w:rPr>
        <w:rFonts w:ascii="Symbol" w:hAnsi="Symbol"/>
      </w:rPr>
    </w:lvl>
    <w:lvl w:ilvl="1" w:tplc="0888A000">
      <w:start w:val="1"/>
      <w:numFmt w:val="bullet"/>
      <w:lvlText w:val="o"/>
      <w:lvlJc w:val="left"/>
      <w:pPr>
        <w:tabs>
          <w:tab w:val="num" w:pos="1440"/>
        </w:tabs>
        <w:ind w:left="1440" w:hanging="360"/>
      </w:pPr>
      <w:rPr>
        <w:rFonts w:ascii="Courier New" w:hAnsi="Courier New"/>
      </w:rPr>
    </w:lvl>
    <w:lvl w:ilvl="2" w:tplc="B1161442">
      <w:start w:val="1"/>
      <w:numFmt w:val="bullet"/>
      <w:lvlText w:val=""/>
      <w:lvlJc w:val="left"/>
      <w:pPr>
        <w:tabs>
          <w:tab w:val="num" w:pos="2160"/>
        </w:tabs>
        <w:ind w:left="2160" w:hanging="360"/>
      </w:pPr>
      <w:rPr>
        <w:rFonts w:ascii="Wingdings" w:hAnsi="Wingdings"/>
      </w:rPr>
    </w:lvl>
    <w:lvl w:ilvl="3" w:tplc="83B41580">
      <w:start w:val="1"/>
      <w:numFmt w:val="bullet"/>
      <w:lvlText w:val=""/>
      <w:lvlJc w:val="left"/>
      <w:pPr>
        <w:tabs>
          <w:tab w:val="num" w:pos="2880"/>
        </w:tabs>
        <w:ind w:left="2880" w:hanging="360"/>
      </w:pPr>
      <w:rPr>
        <w:rFonts w:ascii="Symbol" w:hAnsi="Symbol"/>
      </w:rPr>
    </w:lvl>
    <w:lvl w:ilvl="4" w:tplc="311A2D1A">
      <w:start w:val="1"/>
      <w:numFmt w:val="bullet"/>
      <w:lvlText w:val="o"/>
      <w:lvlJc w:val="left"/>
      <w:pPr>
        <w:tabs>
          <w:tab w:val="num" w:pos="3600"/>
        </w:tabs>
        <w:ind w:left="3600" w:hanging="360"/>
      </w:pPr>
      <w:rPr>
        <w:rFonts w:ascii="Courier New" w:hAnsi="Courier New"/>
      </w:rPr>
    </w:lvl>
    <w:lvl w:ilvl="5" w:tplc="A2DC51D4">
      <w:start w:val="1"/>
      <w:numFmt w:val="bullet"/>
      <w:lvlText w:val=""/>
      <w:lvlJc w:val="left"/>
      <w:pPr>
        <w:tabs>
          <w:tab w:val="num" w:pos="4320"/>
        </w:tabs>
        <w:ind w:left="4320" w:hanging="360"/>
      </w:pPr>
      <w:rPr>
        <w:rFonts w:ascii="Wingdings" w:hAnsi="Wingdings"/>
      </w:rPr>
    </w:lvl>
    <w:lvl w:ilvl="6" w:tplc="AB6AA0CC">
      <w:start w:val="1"/>
      <w:numFmt w:val="bullet"/>
      <w:lvlText w:val=""/>
      <w:lvlJc w:val="left"/>
      <w:pPr>
        <w:tabs>
          <w:tab w:val="num" w:pos="5040"/>
        </w:tabs>
        <w:ind w:left="5040" w:hanging="360"/>
      </w:pPr>
      <w:rPr>
        <w:rFonts w:ascii="Symbol" w:hAnsi="Symbol"/>
      </w:rPr>
    </w:lvl>
    <w:lvl w:ilvl="7" w:tplc="2D18624C">
      <w:start w:val="1"/>
      <w:numFmt w:val="bullet"/>
      <w:lvlText w:val="o"/>
      <w:lvlJc w:val="left"/>
      <w:pPr>
        <w:tabs>
          <w:tab w:val="num" w:pos="5760"/>
        </w:tabs>
        <w:ind w:left="5760" w:hanging="360"/>
      </w:pPr>
      <w:rPr>
        <w:rFonts w:ascii="Courier New" w:hAnsi="Courier New"/>
      </w:rPr>
    </w:lvl>
    <w:lvl w:ilvl="8" w:tplc="9918D770">
      <w:start w:val="1"/>
      <w:numFmt w:val="bullet"/>
      <w:lvlText w:val=""/>
      <w:lvlJc w:val="left"/>
      <w:pPr>
        <w:tabs>
          <w:tab w:val="num" w:pos="6480"/>
        </w:tabs>
        <w:ind w:left="6480" w:hanging="360"/>
      </w:pPr>
      <w:rPr>
        <w:rFonts w:ascii="Wingdings" w:hAnsi="Wingdings"/>
      </w:rPr>
    </w:lvl>
  </w:abstractNum>
  <w:abstractNum w:abstractNumId="41">
    <w:nsid w:val="722304EB"/>
    <w:multiLevelType w:val="hybridMultilevel"/>
    <w:tmpl w:val="722304EB"/>
    <w:lvl w:ilvl="0" w:tplc="2AB482D6">
      <w:start w:val="1"/>
      <w:numFmt w:val="bullet"/>
      <w:lvlText w:val=""/>
      <w:lvlJc w:val="left"/>
      <w:pPr>
        <w:ind w:left="720" w:hanging="360"/>
      </w:pPr>
      <w:rPr>
        <w:rFonts w:ascii="Symbol" w:hAnsi="Symbol"/>
      </w:rPr>
    </w:lvl>
    <w:lvl w:ilvl="1" w:tplc="C8B44F1A">
      <w:start w:val="1"/>
      <w:numFmt w:val="bullet"/>
      <w:lvlText w:val="o"/>
      <w:lvlJc w:val="left"/>
      <w:pPr>
        <w:tabs>
          <w:tab w:val="num" w:pos="1440"/>
        </w:tabs>
        <w:ind w:left="1440" w:hanging="360"/>
      </w:pPr>
      <w:rPr>
        <w:rFonts w:ascii="Courier New" w:hAnsi="Courier New"/>
      </w:rPr>
    </w:lvl>
    <w:lvl w:ilvl="2" w:tplc="1CC403AA">
      <w:start w:val="1"/>
      <w:numFmt w:val="bullet"/>
      <w:lvlText w:val=""/>
      <w:lvlJc w:val="left"/>
      <w:pPr>
        <w:tabs>
          <w:tab w:val="num" w:pos="2160"/>
        </w:tabs>
        <w:ind w:left="2160" w:hanging="360"/>
      </w:pPr>
      <w:rPr>
        <w:rFonts w:ascii="Wingdings" w:hAnsi="Wingdings"/>
      </w:rPr>
    </w:lvl>
    <w:lvl w:ilvl="3" w:tplc="CCFC91FC">
      <w:start w:val="1"/>
      <w:numFmt w:val="bullet"/>
      <w:lvlText w:val=""/>
      <w:lvlJc w:val="left"/>
      <w:pPr>
        <w:tabs>
          <w:tab w:val="num" w:pos="2880"/>
        </w:tabs>
        <w:ind w:left="2880" w:hanging="360"/>
      </w:pPr>
      <w:rPr>
        <w:rFonts w:ascii="Symbol" w:hAnsi="Symbol"/>
      </w:rPr>
    </w:lvl>
    <w:lvl w:ilvl="4" w:tplc="F42A84C0">
      <w:start w:val="1"/>
      <w:numFmt w:val="bullet"/>
      <w:lvlText w:val="o"/>
      <w:lvlJc w:val="left"/>
      <w:pPr>
        <w:tabs>
          <w:tab w:val="num" w:pos="3600"/>
        </w:tabs>
        <w:ind w:left="3600" w:hanging="360"/>
      </w:pPr>
      <w:rPr>
        <w:rFonts w:ascii="Courier New" w:hAnsi="Courier New"/>
      </w:rPr>
    </w:lvl>
    <w:lvl w:ilvl="5" w:tplc="343C6832">
      <w:start w:val="1"/>
      <w:numFmt w:val="bullet"/>
      <w:lvlText w:val=""/>
      <w:lvlJc w:val="left"/>
      <w:pPr>
        <w:tabs>
          <w:tab w:val="num" w:pos="4320"/>
        </w:tabs>
        <w:ind w:left="4320" w:hanging="360"/>
      </w:pPr>
      <w:rPr>
        <w:rFonts w:ascii="Wingdings" w:hAnsi="Wingdings"/>
      </w:rPr>
    </w:lvl>
    <w:lvl w:ilvl="6" w:tplc="AFA000CC">
      <w:start w:val="1"/>
      <w:numFmt w:val="bullet"/>
      <w:lvlText w:val=""/>
      <w:lvlJc w:val="left"/>
      <w:pPr>
        <w:tabs>
          <w:tab w:val="num" w:pos="5040"/>
        </w:tabs>
        <w:ind w:left="5040" w:hanging="360"/>
      </w:pPr>
      <w:rPr>
        <w:rFonts w:ascii="Symbol" w:hAnsi="Symbol"/>
      </w:rPr>
    </w:lvl>
    <w:lvl w:ilvl="7" w:tplc="04661E7C">
      <w:start w:val="1"/>
      <w:numFmt w:val="bullet"/>
      <w:lvlText w:val="o"/>
      <w:lvlJc w:val="left"/>
      <w:pPr>
        <w:tabs>
          <w:tab w:val="num" w:pos="5760"/>
        </w:tabs>
        <w:ind w:left="5760" w:hanging="360"/>
      </w:pPr>
      <w:rPr>
        <w:rFonts w:ascii="Courier New" w:hAnsi="Courier New"/>
      </w:rPr>
    </w:lvl>
    <w:lvl w:ilvl="8" w:tplc="DCE49508">
      <w:start w:val="1"/>
      <w:numFmt w:val="bullet"/>
      <w:lvlText w:val=""/>
      <w:lvlJc w:val="left"/>
      <w:pPr>
        <w:tabs>
          <w:tab w:val="num" w:pos="6480"/>
        </w:tabs>
        <w:ind w:left="6480" w:hanging="360"/>
      </w:pPr>
      <w:rPr>
        <w:rFonts w:ascii="Wingdings" w:hAnsi="Wingdings"/>
      </w:rPr>
    </w:lvl>
  </w:abstractNum>
  <w:abstractNum w:abstractNumId="42">
    <w:nsid w:val="722304EC"/>
    <w:multiLevelType w:val="multilevel"/>
    <w:tmpl w:val="722304EC"/>
    <w:lvl w:ilvl="0">
      <w:start w:val="1"/>
      <w:numFmt w:val="decimal"/>
      <w:lvlText w:val="%1."/>
      <w:lvlJc w:val="left"/>
      <w:pPr>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43">
    <w:nsid w:val="722304ED"/>
    <w:multiLevelType w:val="hybridMultilevel"/>
    <w:tmpl w:val="722304ED"/>
    <w:lvl w:ilvl="0" w:tplc="2D7C5AD0">
      <w:start w:val="1"/>
      <w:numFmt w:val="bullet"/>
      <w:lvlText w:val=""/>
      <w:lvlJc w:val="left"/>
      <w:pPr>
        <w:ind w:left="720" w:hanging="360"/>
      </w:pPr>
      <w:rPr>
        <w:rFonts w:ascii="Symbol" w:hAnsi="Symbol"/>
      </w:rPr>
    </w:lvl>
    <w:lvl w:ilvl="1" w:tplc="3EAA6DF6">
      <w:start w:val="1"/>
      <w:numFmt w:val="bullet"/>
      <w:lvlText w:val="o"/>
      <w:lvlJc w:val="left"/>
      <w:pPr>
        <w:tabs>
          <w:tab w:val="num" w:pos="1440"/>
        </w:tabs>
        <w:ind w:left="1440" w:hanging="360"/>
      </w:pPr>
      <w:rPr>
        <w:rFonts w:ascii="Courier New" w:hAnsi="Courier New"/>
      </w:rPr>
    </w:lvl>
    <w:lvl w:ilvl="2" w:tplc="D0B8A97E">
      <w:start w:val="1"/>
      <w:numFmt w:val="bullet"/>
      <w:lvlText w:val=""/>
      <w:lvlJc w:val="left"/>
      <w:pPr>
        <w:tabs>
          <w:tab w:val="num" w:pos="2160"/>
        </w:tabs>
        <w:ind w:left="2160" w:hanging="360"/>
      </w:pPr>
      <w:rPr>
        <w:rFonts w:ascii="Wingdings" w:hAnsi="Wingdings"/>
      </w:rPr>
    </w:lvl>
    <w:lvl w:ilvl="3" w:tplc="C46AB576">
      <w:start w:val="1"/>
      <w:numFmt w:val="bullet"/>
      <w:lvlText w:val=""/>
      <w:lvlJc w:val="left"/>
      <w:pPr>
        <w:tabs>
          <w:tab w:val="num" w:pos="2880"/>
        </w:tabs>
        <w:ind w:left="2880" w:hanging="360"/>
      </w:pPr>
      <w:rPr>
        <w:rFonts w:ascii="Symbol" w:hAnsi="Symbol"/>
      </w:rPr>
    </w:lvl>
    <w:lvl w:ilvl="4" w:tplc="E47C2546">
      <w:start w:val="1"/>
      <w:numFmt w:val="bullet"/>
      <w:lvlText w:val="o"/>
      <w:lvlJc w:val="left"/>
      <w:pPr>
        <w:tabs>
          <w:tab w:val="num" w:pos="3600"/>
        </w:tabs>
        <w:ind w:left="3600" w:hanging="360"/>
      </w:pPr>
      <w:rPr>
        <w:rFonts w:ascii="Courier New" w:hAnsi="Courier New"/>
      </w:rPr>
    </w:lvl>
    <w:lvl w:ilvl="5" w:tplc="459A9CBC">
      <w:start w:val="1"/>
      <w:numFmt w:val="bullet"/>
      <w:lvlText w:val=""/>
      <w:lvlJc w:val="left"/>
      <w:pPr>
        <w:tabs>
          <w:tab w:val="num" w:pos="4320"/>
        </w:tabs>
        <w:ind w:left="4320" w:hanging="360"/>
      </w:pPr>
      <w:rPr>
        <w:rFonts w:ascii="Wingdings" w:hAnsi="Wingdings"/>
      </w:rPr>
    </w:lvl>
    <w:lvl w:ilvl="6" w:tplc="5AE0E0F2">
      <w:start w:val="1"/>
      <w:numFmt w:val="bullet"/>
      <w:lvlText w:val=""/>
      <w:lvlJc w:val="left"/>
      <w:pPr>
        <w:tabs>
          <w:tab w:val="num" w:pos="5040"/>
        </w:tabs>
        <w:ind w:left="5040" w:hanging="360"/>
      </w:pPr>
      <w:rPr>
        <w:rFonts w:ascii="Symbol" w:hAnsi="Symbol"/>
      </w:rPr>
    </w:lvl>
    <w:lvl w:ilvl="7" w:tplc="3B38409E">
      <w:start w:val="1"/>
      <w:numFmt w:val="bullet"/>
      <w:lvlText w:val="o"/>
      <w:lvlJc w:val="left"/>
      <w:pPr>
        <w:tabs>
          <w:tab w:val="num" w:pos="5760"/>
        </w:tabs>
        <w:ind w:left="5760" w:hanging="360"/>
      </w:pPr>
      <w:rPr>
        <w:rFonts w:ascii="Courier New" w:hAnsi="Courier New"/>
      </w:rPr>
    </w:lvl>
    <w:lvl w:ilvl="8" w:tplc="7326EF82">
      <w:start w:val="1"/>
      <w:numFmt w:val="bullet"/>
      <w:lvlText w:val=""/>
      <w:lvlJc w:val="left"/>
      <w:pPr>
        <w:tabs>
          <w:tab w:val="num" w:pos="6480"/>
        </w:tabs>
        <w:ind w:left="6480" w:hanging="360"/>
      </w:pPr>
      <w:rPr>
        <w:rFonts w:ascii="Wingdings" w:hAnsi="Wingdings"/>
      </w:rPr>
    </w:lvl>
  </w:abstractNum>
  <w:abstractNum w:abstractNumId="44">
    <w:nsid w:val="722304EE"/>
    <w:multiLevelType w:val="hybridMultilevel"/>
    <w:tmpl w:val="722304EE"/>
    <w:lvl w:ilvl="0" w:tplc="7242CE9C">
      <w:start w:val="1"/>
      <w:numFmt w:val="bullet"/>
      <w:lvlText w:val=""/>
      <w:lvlJc w:val="left"/>
      <w:pPr>
        <w:ind w:left="720" w:hanging="360"/>
      </w:pPr>
      <w:rPr>
        <w:rFonts w:ascii="Symbol" w:hAnsi="Symbol"/>
      </w:rPr>
    </w:lvl>
    <w:lvl w:ilvl="1" w:tplc="B2FE665A">
      <w:start w:val="1"/>
      <w:numFmt w:val="bullet"/>
      <w:lvlText w:val="o"/>
      <w:lvlJc w:val="left"/>
      <w:pPr>
        <w:tabs>
          <w:tab w:val="num" w:pos="1440"/>
        </w:tabs>
        <w:ind w:left="1440" w:hanging="360"/>
      </w:pPr>
      <w:rPr>
        <w:rFonts w:ascii="Courier New" w:hAnsi="Courier New"/>
      </w:rPr>
    </w:lvl>
    <w:lvl w:ilvl="2" w:tplc="0116EB78">
      <w:start w:val="1"/>
      <w:numFmt w:val="bullet"/>
      <w:lvlText w:val=""/>
      <w:lvlJc w:val="left"/>
      <w:pPr>
        <w:tabs>
          <w:tab w:val="num" w:pos="2160"/>
        </w:tabs>
        <w:ind w:left="2160" w:hanging="360"/>
      </w:pPr>
      <w:rPr>
        <w:rFonts w:ascii="Wingdings" w:hAnsi="Wingdings"/>
      </w:rPr>
    </w:lvl>
    <w:lvl w:ilvl="3" w:tplc="DCF2ACAA">
      <w:start w:val="1"/>
      <w:numFmt w:val="bullet"/>
      <w:lvlText w:val=""/>
      <w:lvlJc w:val="left"/>
      <w:pPr>
        <w:tabs>
          <w:tab w:val="num" w:pos="2880"/>
        </w:tabs>
        <w:ind w:left="2880" w:hanging="360"/>
      </w:pPr>
      <w:rPr>
        <w:rFonts w:ascii="Symbol" w:hAnsi="Symbol"/>
      </w:rPr>
    </w:lvl>
    <w:lvl w:ilvl="4" w:tplc="76FC375A">
      <w:start w:val="1"/>
      <w:numFmt w:val="bullet"/>
      <w:lvlText w:val="o"/>
      <w:lvlJc w:val="left"/>
      <w:pPr>
        <w:tabs>
          <w:tab w:val="num" w:pos="3600"/>
        </w:tabs>
        <w:ind w:left="3600" w:hanging="360"/>
      </w:pPr>
      <w:rPr>
        <w:rFonts w:ascii="Courier New" w:hAnsi="Courier New"/>
      </w:rPr>
    </w:lvl>
    <w:lvl w:ilvl="5" w:tplc="C3F64DF0">
      <w:start w:val="1"/>
      <w:numFmt w:val="bullet"/>
      <w:lvlText w:val=""/>
      <w:lvlJc w:val="left"/>
      <w:pPr>
        <w:tabs>
          <w:tab w:val="num" w:pos="4320"/>
        </w:tabs>
        <w:ind w:left="4320" w:hanging="360"/>
      </w:pPr>
      <w:rPr>
        <w:rFonts w:ascii="Wingdings" w:hAnsi="Wingdings"/>
      </w:rPr>
    </w:lvl>
    <w:lvl w:ilvl="6" w:tplc="4AD8B36A">
      <w:start w:val="1"/>
      <w:numFmt w:val="bullet"/>
      <w:lvlText w:val=""/>
      <w:lvlJc w:val="left"/>
      <w:pPr>
        <w:tabs>
          <w:tab w:val="num" w:pos="5040"/>
        </w:tabs>
        <w:ind w:left="5040" w:hanging="360"/>
      </w:pPr>
      <w:rPr>
        <w:rFonts w:ascii="Symbol" w:hAnsi="Symbol"/>
      </w:rPr>
    </w:lvl>
    <w:lvl w:ilvl="7" w:tplc="5DE6D93C">
      <w:start w:val="1"/>
      <w:numFmt w:val="bullet"/>
      <w:lvlText w:val="o"/>
      <w:lvlJc w:val="left"/>
      <w:pPr>
        <w:tabs>
          <w:tab w:val="num" w:pos="5760"/>
        </w:tabs>
        <w:ind w:left="5760" w:hanging="360"/>
      </w:pPr>
      <w:rPr>
        <w:rFonts w:ascii="Courier New" w:hAnsi="Courier New"/>
      </w:rPr>
    </w:lvl>
    <w:lvl w:ilvl="8" w:tplc="6B725D4E">
      <w:start w:val="1"/>
      <w:numFmt w:val="bullet"/>
      <w:lvlText w:val=""/>
      <w:lvlJc w:val="left"/>
      <w:pPr>
        <w:tabs>
          <w:tab w:val="num" w:pos="6480"/>
        </w:tabs>
        <w:ind w:left="6480" w:hanging="360"/>
      </w:pPr>
      <w:rPr>
        <w:rFonts w:ascii="Wingdings" w:hAnsi="Wingdings"/>
      </w:rPr>
    </w:lvl>
  </w:abstractNum>
  <w:abstractNum w:abstractNumId="45">
    <w:nsid w:val="722304EF"/>
    <w:multiLevelType w:val="hybridMultilevel"/>
    <w:tmpl w:val="722304EF"/>
    <w:lvl w:ilvl="0" w:tplc="D3C6EC90">
      <w:start w:val="1"/>
      <w:numFmt w:val="bullet"/>
      <w:lvlText w:val=""/>
      <w:lvlJc w:val="left"/>
      <w:pPr>
        <w:ind w:left="720" w:hanging="360"/>
      </w:pPr>
      <w:rPr>
        <w:rFonts w:ascii="Symbol" w:hAnsi="Symbol"/>
      </w:rPr>
    </w:lvl>
    <w:lvl w:ilvl="1" w:tplc="DE6A4AD6">
      <w:start w:val="1"/>
      <w:numFmt w:val="bullet"/>
      <w:lvlText w:val="o"/>
      <w:lvlJc w:val="left"/>
      <w:pPr>
        <w:tabs>
          <w:tab w:val="num" w:pos="1440"/>
        </w:tabs>
        <w:ind w:left="1440" w:hanging="360"/>
      </w:pPr>
      <w:rPr>
        <w:rFonts w:ascii="Courier New" w:hAnsi="Courier New"/>
      </w:rPr>
    </w:lvl>
    <w:lvl w:ilvl="2" w:tplc="447E2214">
      <w:start w:val="1"/>
      <w:numFmt w:val="bullet"/>
      <w:lvlText w:val=""/>
      <w:lvlJc w:val="left"/>
      <w:pPr>
        <w:tabs>
          <w:tab w:val="num" w:pos="2160"/>
        </w:tabs>
        <w:ind w:left="2160" w:hanging="360"/>
      </w:pPr>
      <w:rPr>
        <w:rFonts w:ascii="Wingdings" w:hAnsi="Wingdings"/>
      </w:rPr>
    </w:lvl>
    <w:lvl w:ilvl="3" w:tplc="CD027FB0">
      <w:start w:val="1"/>
      <w:numFmt w:val="bullet"/>
      <w:lvlText w:val=""/>
      <w:lvlJc w:val="left"/>
      <w:pPr>
        <w:tabs>
          <w:tab w:val="num" w:pos="2880"/>
        </w:tabs>
        <w:ind w:left="2880" w:hanging="360"/>
      </w:pPr>
      <w:rPr>
        <w:rFonts w:ascii="Symbol" w:hAnsi="Symbol"/>
      </w:rPr>
    </w:lvl>
    <w:lvl w:ilvl="4" w:tplc="F5E88322">
      <w:start w:val="1"/>
      <w:numFmt w:val="bullet"/>
      <w:lvlText w:val="o"/>
      <w:lvlJc w:val="left"/>
      <w:pPr>
        <w:tabs>
          <w:tab w:val="num" w:pos="3600"/>
        </w:tabs>
        <w:ind w:left="3600" w:hanging="360"/>
      </w:pPr>
      <w:rPr>
        <w:rFonts w:ascii="Courier New" w:hAnsi="Courier New"/>
      </w:rPr>
    </w:lvl>
    <w:lvl w:ilvl="5" w:tplc="4B72DB04">
      <w:start w:val="1"/>
      <w:numFmt w:val="bullet"/>
      <w:lvlText w:val=""/>
      <w:lvlJc w:val="left"/>
      <w:pPr>
        <w:tabs>
          <w:tab w:val="num" w:pos="4320"/>
        </w:tabs>
        <w:ind w:left="4320" w:hanging="360"/>
      </w:pPr>
      <w:rPr>
        <w:rFonts w:ascii="Wingdings" w:hAnsi="Wingdings"/>
      </w:rPr>
    </w:lvl>
    <w:lvl w:ilvl="6" w:tplc="CC7C6298">
      <w:start w:val="1"/>
      <w:numFmt w:val="bullet"/>
      <w:lvlText w:val=""/>
      <w:lvlJc w:val="left"/>
      <w:pPr>
        <w:tabs>
          <w:tab w:val="num" w:pos="5040"/>
        </w:tabs>
        <w:ind w:left="5040" w:hanging="360"/>
      </w:pPr>
      <w:rPr>
        <w:rFonts w:ascii="Symbol" w:hAnsi="Symbol"/>
      </w:rPr>
    </w:lvl>
    <w:lvl w:ilvl="7" w:tplc="C5D03504">
      <w:start w:val="1"/>
      <w:numFmt w:val="bullet"/>
      <w:lvlText w:val="o"/>
      <w:lvlJc w:val="left"/>
      <w:pPr>
        <w:tabs>
          <w:tab w:val="num" w:pos="5760"/>
        </w:tabs>
        <w:ind w:left="5760" w:hanging="360"/>
      </w:pPr>
      <w:rPr>
        <w:rFonts w:ascii="Courier New" w:hAnsi="Courier New"/>
      </w:rPr>
    </w:lvl>
    <w:lvl w:ilvl="8" w:tplc="64B63720">
      <w:start w:val="1"/>
      <w:numFmt w:val="bullet"/>
      <w:lvlText w:val=""/>
      <w:lvlJc w:val="left"/>
      <w:pPr>
        <w:tabs>
          <w:tab w:val="num" w:pos="6480"/>
        </w:tabs>
        <w:ind w:left="6480" w:hanging="360"/>
      </w:pPr>
      <w:rPr>
        <w:rFonts w:ascii="Wingdings" w:hAnsi="Wingdings"/>
      </w:rPr>
    </w:lvl>
  </w:abstractNum>
  <w:abstractNum w:abstractNumId="46">
    <w:nsid w:val="722304F0"/>
    <w:multiLevelType w:val="hybridMultilevel"/>
    <w:tmpl w:val="722304F0"/>
    <w:lvl w:ilvl="0" w:tplc="C7DCD68C">
      <w:start w:val="1"/>
      <w:numFmt w:val="bullet"/>
      <w:lvlText w:val=""/>
      <w:lvlJc w:val="left"/>
      <w:pPr>
        <w:ind w:left="720" w:hanging="360"/>
      </w:pPr>
      <w:rPr>
        <w:rFonts w:ascii="Symbol" w:hAnsi="Symbol"/>
      </w:rPr>
    </w:lvl>
    <w:lvl w:ilvl="1" w:tplc="3D82107C">
      <w:start w:val="1"/>
      <w:numFmt w:val="bullet"/>
      <w:lvlText w:val="o"/>
      <w:lvlJc w:val="left"/>
      <w:pPr>
        <w:tabs>
          <w:tab w:val="num" w:pos="1440"/>
        </w:tabs>
        <w:ind w:left="1440" w:hanging="360"/>
      </w:pPr>
      <w:rPr>
        <w:rFonts w:ascii="Courier New" w:hAnsi="Courier New"/>
      </w:rPr>
    </w:lvl>
    <w:lvl w:ilvl="2" w:tplc="CA246CE2">
      <w:start w:val="1"/>
      <w:numFmt w:val="bullet"/>
      <w:lvlText w:val=""/>
      <w:lvlJc w:val="left"/>
      <w:pPr>
        <w:tabs>
          <w:tab w:val="num" w:pos="2160"/>
        </w:tabs>
        <w:ind w:left="2160" w:hanging="360"/>
      </w:pPr>
      <w:rPr>
        <w:rFonts w:ascii="Wingdings" w:hAnsi="Wingdings"/>
      </w:rPr>
    </w:lvl>
    <w:lvl w:ilvl="3" w:tplc="B8C61858">
      <w:start w:val="1"/>
      <w:numFmt w:val="bullet"/>
      <w:lvlText w:val=""/>
      <w:lvlJc w:val="left"/>
      <w:pPr>
        <w:tabs>
          <w:tab w:val="num" w:pos="2880"/>
        </w:tabs>
        <w:ind w:left="2880" w:hanging="360"/>
      </w:pPr>
      <w:rPr>
        <w:rFonts w:ascii="Symbol" w:hAnsi="Symbol"/>
      </w:rPr>
    </w:lvl>
    <w:lvl w:ilvl="4" w:tplc="64905CAC">
      <w:start w:val="1"/>
      <w:numFmt w:val="bullet"/>
      <w:lvlText w:val="o"/>
      <w:lvlJc w:val="left"/>
      <w:pPr>
        <w:tabs>
          <w:tab w:val="num" w:pos="3600"/>
        </w:tabs>
        <w:ind w:left="3600" w:hanging="360"/>
      </w:pPr>
      <w:rPr>
        <w:rFonts w:ascii="Courier New" w:hAnsi="Courier New"/>
      </w:rPr>
    </w:lvl>
    <w:lvl w:ilvl="5" w:tplc="C33A00B2">
      <w:start w:val="1"/>
      <w:numFmt w:val="bullet"/>
      <w:lvlText w:val=""/>
      <w:lvlJc w:val="left"/>
      <w:pPr>
        <w:tabs>
          <w:tab w:val="num" w:pos="4320"/>
        </w:tabs>
        <w:ind w:left="4320" w:hanging="360"/>
      </w:pPr>
      <w:rPr>
        <w:rFonts w:ascii="Wingdings" w:hAnsi="Wingdings"/>
      </w:rPr>
    </w:lvl>
    <w:lvl w:ilvl="6" w:tplc="08A4D12E">
      <w:start w:val="1"/>
      <w:numFmt w:val="bullet"/>
      <w:lvlText w:val=""/>
      <w:lvlJc w:val="left"/>
      <w:pPr>
        <w:tabs>
          <w:tab w:val="num" w:pos="5040"/>
        </w:tabs>
        <w:ind w:left="5040" w:hanging="360"/>
      </w:pPr>
      <w:rPr>
        <w:rFonts w:ascii="Symbol" w:hAnsi="Symbol"/>
      </w:rPr>
    </w:lvl>
    <w:lvl w:ilvl="7" w:tplc="7382DAC4">
      <w:start w:val="1"/>
      <w:numFmt w:val="bullet"/>
      <w:lvlText w:val="o"/>
      <w:lvlJc w:val="left"/>
      <w:pPr>
        <w:tabs>
          <w:tab w:val="num" w:pos="5760"/>
        </w:tabs>
        <w:ind w:left="5760" w:hanging="360"/>
      </w:pPr>
      <w:rPr>
        <w:rFonts w:ascii="Courier New" w:hAnsi="Courier New"/>
      </w:rPr>
    </w:lvl>
    <w:lvl w:ilvl="8" w:tplc="0B82E326">
      <w:start w:val="1"/>
      <w:numFmt w:val="bullet"/>
      <w:lvlText w:val=""/>
      <w:lvlJc w:val="left"/>
      <w:pPr>
        <w:tabs>
          <w:tab w:val="num" w:pos="6480"/>
        </w:tabs>
        <w:ind w:left="6480" w:hanging="360"/>
      </w:pPr>
      <w:rPr>
        <w:rFonts w:ascii="Wingdings" w:hAnsi="Wingdings"/>
      </w:rPr>
    </w:lvl>
  </w:abstractNum>
  <w:abstractNum w:abstractNumId="47">
    <w:nsid w:val="722304F1"/>
    <w:multiLevelType w:val="hybridMultilevel"/>
    <w:tmpl w:val="722304F1"/>
    <w:lvl w:ilvl="0" w:tplc="6C161D7E">
      <w:start w:val="1"/>
      <w:numFmt w:val="bullet"/>
      <w:lvlText w:val=""/>
      <w:lvlJc w:val="left"/>
      <w:pPr>
        <w:ind w:left="720" w:hanging="360"/>
      </w:pPr>
      <w:rPr>
        <w:rFonts w:ascii="Symbol" w:hAnsi="Symbol"/>
      </w:rPr>
    </w:lvl>
    <w:lvl w:ilvl="1" w:tplc="D8A0E9CE">
      <w:start w:val="1"/>
      <w:numFmt w:val="bullet"/>
      <w:lvlText w:val="o"/>
      <w:lvlJc w:val="left"/>
      <w:pPr>
        <w:tabs>
          <w:tab w:val="num" w:pos="1440"/>
        </w:tabs>
        <w:ind w:left="1440" w:hanging="360"/>
      </w:pPr>
      <w:rPr>
        <w:rFonts w:ascii="Courier New" w:hAnsi="Courier New"/>
      </w:rPr>
    </w:lvl>
    <w:lvl w:ilvl="2" w:tplc="14D8208A">
      <w:start w:val="1"/>
      <w:numFmt w:val="bullet"/>
      <w:lvlText w:val=""/>
      <w:lvlJc w:val="left"/>
      <w:pPr>
        <w:tabs>
          <w:tab w:val="num" w:pos="2160"/>
        </w:tabs>
        <w:ind w:left="2160" w:hanging="360"/>
      </w:pPr>
      <w:rPr>
        <w:rFonts w:ascii="Wingdings" w:hAnsi="Wingdings"/>
      </w:rPr>
    </w:lvl>
    <w:lvl w:ilvl="3" w:tplc="C292F810">
      <w:start w:val="1"/>
      <w:numFmt w:val="bullet"/>
      <w:lvlText w:val=""/>
      <w:lvlJc w:val="left"/>
      <w:pPr>
        <w:tabs>
          <w:tab w:val="num" w:pos="2880"/>
        </w:tabs>
        <w:ind w:left="2880" w:hanging="360"/>
      </w:pPr>
      <w:rPr>
        <w:rFonts w:ascii="Symbol" w:hAnsi="Symbol"/>
      </w:rPr>
    </w:lvl>
    <w:lvl w:ilvl="4" w:tplc="106C838C">
      <w:start w:val="1"/>
      <w:numFmt w:val="bullet"/>
      <w:lvlText w:val="o"/>
      <w:lvlJc w:val="left"/>
      <w:pPr>
        <w:tabs>
          <w:tab w:val="num" w:pos="3600"/>
        </w:tabs>
        <w:ind w:left="3600" w:hanging="360"/>
      </w:pPr>
      <w:rPr>
        <w:rFonts w:ascii="Courier New" w:hAnsi="Courier New"/>
      </w:rPr>
    </w:lvl>
    <w:lvl w:ilvl="5" w:tplc="FF0653BA">
      <w:start w:val="1"/>
      <w:numFmt w:val="bullet"/>
      <w:lvlText w:val=""/>
      <w:lvlJc w:val="left"/>
      <w:pPr>
        <w:tabs>
          <w:tab w:val="num" w:pos="4320"/>
        </w:tabs>
        <w:ind w:left="4320" w:hanging="360"/>
      </w:pPr>
      <w:rPr>
        <w:rFonts w:ascii="Wingdings" w:hAnsi="Wingdings"/>
      </w:rPr>
    </w:lvl>
    <w:lvl w:ilvl="6" w:tplc="696E3498">
      <w:start w:val="1"/>
      <w:numFmt w:val="bullet"/>
      <w:lvlText w:val=""/>
      <w:lvlJc w:val="left"/>
      <w:pPr>
        <w:tabs>
          <w:tab w:val="num" w:pos="5040"/>
        </w:tabs>
        <w:ind w:left="5040" w:hanging="360"/>
      </w:pPr>
      <w:rPr>
        <w:rFonts w:ascii="Symbol" w:hAnsi="Symbol"/>
      </w:rPr>
    </w:lvl>
    <w:lvl w:ilvl="7" w:tplc="3076825A">
      <w:start w:val="1"/>
      <w:numFmt w:val="bullet"/>
      <w:lvlText w:val="o"/>
      <w:lvlJc w:val="left"/>
      <w:pPr>
        <w:tabs>
          <w:tab w:val="num" w:pos="5760"/>
        </w:tabs>
        <w:ind w:left="5760" w:hanging="360"/>
      </w:pPr>
      <w:rPr>
        <w:rFonts w:ascii="Courier New" w:hAnsi="Courier New"/>
      </w:rPr>
    </w:lvl>
    <w:lvl w:ilvl="8" w:tplc="270C836E">
      <w:start w:val="1"/>
      <w:numFmt w:val="bullet"/>
      <w:lvlText w:val=""/>
      <w:lvlJc w:val="left"/>
      <w:pPr>
        <w:tabs>
          <w:tab w:val="num" w:pos="6480"/>
        </w:tabs>
        <w:ind w:left="6480" w:hanging="360"/>
      </w:pPr>
      <w:rPr>
        <w:rFonts w:ascii="Wingdings" w:hAnsi="Wingdings"/>
      </w:rPr>
    </w:lvl>
  </w:abstractNum>
  <w:abstractNum w:abstractNumId="48">
    <w:nsid w:val="722304F2"/>
    <w:multiLevelType w:val="hybridMultilevel"/>
    <w:tmpl w:val="722304F2"/>
    <w:lvl w:ilvl="0" w:tplc="390843C4">
      <w:start w:val="1"/>
      <w:numFmt w:val="bullet"/>
      <w:lvlText w:val=""/>
      <w:lvlJc w:val="left"/>
      <w:pPr>
        <w:ind w:left="720" w:hanging="360"/>
      </w:pPr>
      <w:rPr>
        <w:rFonts w:ascii="Symbol" w:hAnsi="Symbol"/>
      </w:rPr>
    </w:lvl>
    <w:lvl w:ilvl="1" w:tplc="285A7FF8">
      <w:start w:val="1"/>
      <w:numFmt w:val="bullet"/>
      <w:lvlText w:val="o"/>
      <w:lvlJc w:val="left"/>
      <w:pPr>
        <w:tabs>
          <w:tab w:val="num" w:pos="1440"/>
        </w:tabs>
        <w:ind w:left="1440" w:hanging="360"/>
      </w:pPr>
      <w:rPr>
        <w:rFonts w:ascii="Courier New" w:hAnsi="Courier New"/>
      </w:rPr>
    </w:lvl>
    <w:lvl w:ilvl="2" w:tplc="ADE811DE">
      <w:start w:val="1"/>
      <w:numFmt w:val="bullet"/>
      <w:lvlText w:val=""/>
      <w:lvlJc w:val="left"/>
      <w:pPr>
        <w:tabs>
          <w:tab w:val="num" w:pos="2160"/>
        </w:tabs>
        <w:ind w:left="2160" w:hanging="360"/>
      </w:pPr>
      <w:rPr>
        <w:rFonts w:ascii="Wingdings" w:hAnsi="Wingdings"/>
      </w:rPr>
    </w:lvl>
    <w:lvl w:ilvl="3" w:tplc="C9902CC0">
      <w:start w:val="1"/>
      <w:numFmt w:val="bullet"/>
      <w:lvlText w:val=""/>
      <w:lvlJc w:val="left"/>
      <w:pPr>
        <w:tabs>
          <w:tab w:val="num" w:pos="2880"/>
        </w:tabs>
        <w:ind w:left="2880" w:hanging="360"/>
      </w:pPr>
      <w:rPr>
        <w:rFonts w:ascii="Symbol" w:hAnsi="Symbol"/>
      </w:rPr>
    </w:lvl>
    <w:lvl w:ilvl="4" w:tplc="16F416FE">
      <w:start w:val="1"/>
      <w:numFmt w:val="bullet"/>
      <w:lvlText w:val="o"/>
      <w:lvlJc w:val="left"/>
      <w:pPr>
        <w:tabs>
          <w:tab w:val="num" w:pos="3600"/>
        </w:tabs>
        <w:ind w:left="3600" w:hanging="360"/>
      </w:pPr>
      <w:rPr>
        <w:rFonts w:ascii="Courier New" w:hAnsi="Courier New"/>
      </w:rPr>
    </w:lvl>
    <w:lvl w:ilvl="5" w:tplc="5D52A0F4">
      <w:start w:val="1"/>
      <w:numFmt w:val="bullet"/>
      <w:lvlText w:val=""/>
      <w:lvlJc w:val="left"/>
      <w:pPr>
        <w:tabs>
          <w:tab w:val="num" w:pos="4320"/>
        </w:tabs>
        <w:ind w:left="4320" w:hanging="360"/>
      </w:pPr>
      <w:rPr>
        <w:rFonts w:ascii="Wingdings" w:hAnsi="Wingdings"/>
      </w:rPr>
    </w:lvl>
    <w:lvl w:ilvl="6" w:tplc="35AA1A88">
      <w:start w:val="1"/>
      <w:numFmt w:val="bullet"/>
      <w:lvlText w:val=""/>
      <w:lvlJc w:val="left"/>
      <w:pPr>
        <w:tabs>
          <w:tab w:val="num" w:pos="5040"/>
        </w:tabs>
        <w:ind w:left="5040" w:hanging="360"/>
      </w:pPr>
      <w:rPr>
        <w:rFonts w:ascii="Symbol" w:hAnsi="Symbol"/>
      </w:rPr>
    </w:lvl>
    <w:lvl w:ilvl="7" w:tplc="5024CCEC">
      <w:start w:val="1"/>
      <w:numFmt w:val="bullet"/>
      <w:lvlText w:val="o"/>
      <w:lvlJc w:val="left"/>
      <w:pPr>
        <w:tabs>
          <w:tab w:val="num" w:pos="5760"/>
        </w:tabs>
        <w:ind w:left="5760" w:hanging="360"/>
      </w:pPr>
      <w:rPr>
        <w:rFonts w:ascii="Courier New" w:hAnsi="Courier New"/>
      </w:rPr>
    </w:lvl>
    <w:lvl w:ilvl="8" w:tplc="0688FC42">
      <w:start w:val="1"/>
      <w:numFmt w:val="bullet"/>
      <w:lvlText w:val=""/>
      <w:lvlJc w:val="left"/>
      <w:pPr>
        <w:tabs>
          <w:tab w:val="num" w:pos="6480"/>
        </w:tabs>
        <w:ind w:left="6480" w:hanging="360"/>
      </w:pPr>
      <w:rPr>
        <w:rFonts w:ascii="Wingdings" w:hAnsi="Wingdings"/>
      </w:rPr>
    </w:lvl>
  </w:abstractNum>
  <w:abstractNum w:abstractNumId="49">
    <w:nsid w:val="722304F3"/>
    <w:multiLevelType w:val="hybridMultilevel"/>
    <w:tmpl w:val="722304F3"/>
    <w:lvl w:ilvl="0" w:tplc="EA4E7174">
      <w:start w:val="1"/>
      <w:numFmt w:val="bullet"/>
      <w:lvlText w:val=""/>
      <w:lvlJc w:val="left"/>
      <w:pPr>
        <w:ind w:left="720" w:hanging="360"/>
      </w:pPr>
      <w:rPr>
        <w:rFonts w:ascii="Symbol" w:hAnsi="Symbol"/>
      </w:rPr>
    </w:lvl>
    <w:lvl w:ilvl="1" w:tplc="F5AA3ACC">
      <w:start w:val="1"/>
      <w:numFmt w:val="bullet"/>
      <w:lvlText w:val="o"/>
      <w:lvlJc w:val="left"/>
      <w:pPr>
        <w:tabs>
          <w:tab w:val="num" w:pos="1440"/>
        </w:tabs>
        <w:ind w:left="1440" w:hanging="360"/>
      </w:pPr>
      <w:rPr>
        <w:rFonts w:ascii="Courier New" w:hAnsi="Courier New"/>
      </w:rPr>
    </w:lvl>
    <w:lvl w:ilvl="2" w:tplc="2FAC673E">
      <w:start w:val="1"/>
      <w:numFmt w:val="bullet"/>
      <w:lvlText w:val=""/>
      <w:lvlJc w:val="left"/>
      <w:pPr>
        <w:tabs>
          <w:tab w:val="num" w:pos="2160"/>
        </w:tabs>
        <w:ind w:left="2160" w:hanging="360"/>
      </w:pPr>
      <w:rPr>
        <w:rFonts w:ascii="Wingdings" w:hAnsi="Wingdings"/>
      </w:rPr>
    </w:lvl>
    <w:lvl w:ilvl="3" w:tplc="105015F8">
      <w:start w:val="1"/>
      <w:numFmt w:val="bullet"/>
      <w:lvlText w:val=""/>
      <w:lvlJc w:val="left"/>
      <w:pPr>
        <w:tabs>
          <w:tab w:val="num" w:pos="2880"/>
        </w:tabs>
        <w:ind w:left="2880" w:hanging="360"/>
      </w:pPr>
      <w:rPr>
        <w:rFonts w:ascii="Symbol" w:hAnsi="Symbol"/>
      </w:rPr>
    </w:lvl>
    <w:lvl w:ilvl="4" w:tplc="0DEA3830">
      <w:start w:val="1"/>
      <w:numFmt w:val="bullet"/>
      <w:lvlText w:val="o"/>
      <w:lvlJc w:val="left"/>
      <w:pPr>
        <w:tabs>
          <w:tab w:val="num" w:pos="3600"/>
        </w:tabs>
        <w:ind w:left="3600" w:hanging="360"/>
      </w:pPr>
      <w:rPr>
        <w:rFonts w:ascii="Courier New" w:hAnsi="Courier New"/>
      </w:rPr>
    </w:lvl>
    <w:lvl w:ilvl="5" w:tplc="E098C108">
      <w:start w:val="1"/>
      <w:numFmt w:val="bullet"/>
      <w:lvlText w:val=""/>
      <w:lvlJc w:val="left"/>
      <w:pPr>
        <w:tabs>
          <w:tab w:val="num" w:pos="4320"/>
        </w:tabs>
        <w:ind w:left="4320" w:hanging="360"/>
      </w:pPr>
      <w:rPr>
        <w:rFonts w:ascii="Wingdings" w:hAnsi="Wingdings"/>
      </w:rPr>
    </w:lvl>
    <w:lvl w:ilvl="6" w:tplc="F3FA7168">
      <w:start w:val="1"/>
      <w:numFmt w:val="bullet"/>
      <w:lvlText w:val=""/>
      <w:lvlJc w:val="left"/>
      <w:pPr>
        <w:tabs>
          <w:tab w:val="num" w:pos="5040"/>
        </w:tabs>
        <w:ind w:left="5040" w:hanging="360"/>
      </w:pPr>
      <w:rPr>
        <w:rFonts w:ascii="Symbol" w:hAnsi="Symbol"/>
      </w:rPr>
    </w:lvl>
    <w:lvl w:ilvl="7" w:tplc="336640E0">
      <w:start w:val="1"/>
      <w:numFmt w:val="bullet"/>
      <w:lvlText w:val="o"/>
      <w:lvlJc w:val="left"/>
      <w:pPr>
        <w:tabs>
          <w:tab w:val="num" w:pos="5760"/>
        </w:tabs>
        <w:ind w:left="5760" w:hanging="360"/>
      </w:pPr>
      <w:rPr>
        <w:rFonts w:ascii="Courier New" w:hAnsi="Courier New"/>
      </w:rPr>
    </w:lvl>
    <w:lvl w:ilvl="8" w:tplc="4D4CE60C">
      <w:start w:val="1"/>
      <w:numFmt w:val="bullet"/>
      <w:lvlText w:val=""/>
      <w:lvlJc w:val="left"/>
      <w:pPr>
        <w:tabs>
          <w:tab w:val="num" w:pos="6480"/>
        </w:tabs>
        <w:ind w:left="6480" w:hanging="360"/>
      </w:pPr>
      <w:rPr>
        <w:rFonts w:ascii="Wingdings" w:hAnsi="Wingdings"/>
      </w:rPr>
    </w:lvl>
  </w:abstractNum>
  <w:abstractNum w:abstractNumId="50">
    <w:nsid w:val="722304F4"/>
    <w:multiLevelType w:val="hybridMultilevel"/>
    <w:tmpl w:val="722304F4"/>
    <w:lvl w:ilvl="0" w:tplc="9E4A0918">
      <w:start w:val="1"/>
      <w:numFmt w:val="bullet"/>
      <w:lvlText w:val=""/>
      <w:lvlJc w:val="left"/>
      <w:pPr>
        <w:ind w:left="720" w:hanging="360"/>
      </w:pPr>
      <w:rPr>
        <w:rFonts w:ascii="Symbol" w:hAnsi="Symbol"/>
      </w:rPr>
    </w:lvl>
    <w:lvl w:ilvl="1" w:tplc="22626548">
      <w:start w:val="1"/>
      <w:numFmt w:val="bullet"/>
      <w:lvlText w:val="o"/>
      <w:lvlJc w:val="left"/>
      <w:pPr>
        <w:tabs>
          <w:tab w:val="num" w:pos="1440"/>
        </w:tabs>
        <w:ind w:left="1440" w:hanging="360"/>
      </w:pPr>
      <w:rPr>
        <w:rFonts w:ascii="Courier New" w:hAnsi="Courier New"/>
      </w:rPr>
    </w:lvl>
    <w:lvl w:ilvl="2" w:tplc="EBBACBBE">
      <w:start w:val="1"/>
      <w:numFmt w:val="bullet"/>
      <w:lvlText w:val=""/>
      <w:lvlJc w:val="left"/>
      <w:pPr>
        <w:tabs>
          <w:tab w:val="num" w:pos="2160"/>
        </w:tabs>
        <w:ind w:left="2160" w:hanging="360"/>
      </w:pPr>
      <w:rPr>
        <w:rFonts w:ascii="Wingdings" w:hAnsi="Wingdings"/>
      </w:rPr>
    </w:lvl>
    <w:lvl w:ilvl="3" w:tplc="D23E524A">
      <w:start w:val="1"/>
      <w:numFmt w:val="bullet"/>
      <w:lvlText w:val=""/>
      <w:lvlJc w:val="left"/>
      <w:pPr>
        <w:tabs>
          <w:tab w:val="num" w:pos="2880"/>
        </w:tabs>
        <w:ind w:left="2880" w:hanging="360"/>
      </w:pPr>
      <w:rPr>
        <w:rFonts w:ascii="Symbol" w:hAnsi="Symbol"/>
      </w:rPr>
    </w:lvl>
    <w:lvl w:ilvl="4" w:tplc="380CADB8">
      <w:start w:val="1"/>
      <w:numFmt w:val="bullet"/>
      <w:lvlText w:val="o"/>
      <w:lvlJc w:val="left"/>
      <w:pPr>
        <w:tabs>
          <w:tab w:val="num" w:pos="3600"/>
        </w:tabs>
        <w:ind w:left="3600" w:hanging="360"/>
      </w:pPr>
      <w:rPr>
        <w:rFonts w:ascii="Courier New" w:hAnsi="Courier New"/>
      </w:rPr>
    </w:lvl>
    <w:lvl w:ilvl="5" w:tplc="1AFA5ED4">
      <w:start w:val="1"/>
      <w:numFmt w:val="bullet"/>
      <w:lvlText w:val=""/>
      <w:lvlJc w:val="left"/>
      <w:pPr>
        <w:tabs>
          <w:tab w:val="num" w:pos="4320"/>
        </w:tabs>
        <w:ind w:left="4320" w:hanging="360"/>
      </w:pPr>
      <w:rPr>
        <w:rFonts w:ascii="Wingdings" w:hAnsi="Wingdings"/>
      </w:rPr>
    </w:lvl>
    <w:lvl w:ilvl="6" w:tplc="721C0DAA">
      <w:start w:val="1"/>
      <w:numFmt w:val="bullet"/>
      <w:lvlText w:val=""/>
      <w:lvlJc w:val="left"/>
      <w:pPr>
        <w:tabs>
          <w:tab w:val="num" w:pos="5040"/>
        </w:tabs>
        <w:ind w:left="5040" w:hanging="360"/>
      </w:pPr>
      <w:rPr>
        <w:rFonts w:ascii="Symbol" w:hAnsi="Symbol"/>
      </w:rPr>
    </w:lvl>
    <w:lvl w:ilvl="7" w:tplc="997223E8">
      <w:start w:val="1"/>
      <w:numFmt w:val="bullet"/>
      <w:lvlText w:val="o"/>
      <w:lvlJc w:val="left"/>
      <w:pPr>
        <w:tabs>
          <w:tab w:val="num" w:pos="5760"/>
        </w:tabs>
        <w:ind w:left="5760" w:hanging="360"/>
      </w:pPr>
      <w:rPr>
        <w:rFonts w:ascii="Courier New" w:hAnsi="Courier New"/>
      </w:rPr>
    </w:lvl>
    <w:lvl w:ilvl="8" w:tplc="E1DC47FA">
      <w:start w:val="1"/>
      <w:numFmt w:val="bullet"/>
      <w:lvlText w:val=""/>
      <w:lvlJc w:val="left"/>
      <w:pPr>
        <w:tabs>
          <w:tab w:val="num" w:pos="6480"/>
        </w:tabs>
        <w:ind w:left="6480" w:hanging="360"/>
      </w:pPr>
      <w:rPr>
        <w:rFonts w:ascii="Wingdings" w:hAnsi="Wingdings"/>
      </w:rPr>
    </w:lvl>
  </w:abstractNum>
  <w:abstractNum w:abstractNumId="51">
    <w:nsid w:val="722304F5"/>
    <w:multiLevelType w:val="hybridMultilevel"/>
    <w:tmpl w:val="722304F5"/>
    <w:lvl w:ilvl="0" w:tplc="E766B32C">
      <w:start w:val="1"/>
      <w:numFmt w:val="bullet"/>
      <w:lvlText w:val=""/>
      <w:lvlJc w:val="left"/>
      <w:pPr>
        <w:ind w:left="720" w:hanging="360"/>
      </w:pPr>
      <w:rPr>
        <w:rFonts w:ascii="Symbol" w:hAnsi="Symbol"/>
      </w:rPr>
    </w:lvl>
    <w:lvl w:ilvl="1" w:tplc="46BCE5CC">
      <w:start w:val="1"/>
      <w:numFmt w:val="bullet"/>
      <w:lvlText w:val="o"/>
      <w:lvlJc w:val="left"/>
      <w:pPr>
        <w:tabs>
          <w:tab w:val="num" w:pos="1440"/>
        </w:tabs>
        <w:ind w:left="1440" w:hanging="360"/>
      </w:pPr>
      <w:rPr>
        <w:rFonts w:ascii="Courier New" w:hAnsi="Courier New"/>
      </w:rPr>
    </w:lvl>
    <w:lvl w:ilvl="2" w:tplc="723CC556">
      <w:start w:val="1"/>
      <w:numFmt w:val="bullet"/>
      <w:lvlText w:val=""/>
      <w:lvlJc w:val="left"/>
      <w:pPr>
        <w:tabs>
          <w:tab w:val="num" w:pos="2160"/>
        </w:tabs>
        <w:ind w:left="2160" w:hanging="360"/>
      </w:pPr>
      <w:rPr>
        <w:rFonts w:ascii="Wingdings" w:hAnsi="Wingdings"/>
      </w:rPr>
    </w:lvl>
    <w:lvl w:ilvl="3" w:tplc="23BEA412">
      <w:start w:val="1"/>
      <w:numFmt w:val="bullet"/>
      <w:lvlText w:val=""/>
      <w:lvlJc w:val="left"/>
      <w:pPr>
        <w:tabs>
          <w:tab w:val="num" w:pos="2880"/>
        </w:tabs>
        <w:ind w:left="2880" w:hanging="360"/>
      </w:pPr>
      <w:rPr>
        <w:rFonts w:ascii="Symbol" w:hAnsi="Symbol"/>
      </w:rPr>
    </w:lvl>
    <w:lvl w:ilvl="4" w:tplc="E4703B32">
      <w:start w:val="1"/>
      <w:numFmt w:val="bullet"/>
      <w:lvlText w:val="o"/>
      <w:lvlJc w:val="left"/>
      <w:pPr>
        <w:tabs>
          <w:tab w:val="num" w:pos="3600"/>
        </w:tabs>
        <w:ind w:left="3600" w:hanging="360"/>
      </w:pPr>
      <w:rPr>
        <w:rFonts w:ascii="Courier New" w:hAnsi="Courier New"/>
      </w:rPr>
    </w:lvl>
    <w:lvl w:ilvl="5" w:tplc="61D0FEE8">
      <w:start w:val="1"/>
      <w:numFmt w:val="bullet"/>
      <w:lvlText w:val=""/>
      <w:lvlJc w:val="left"/>
      <w:pPr>
        <w:tabs>
          <w:tab w:val="num" w:pos="4320"/>
        </w:tabs>
        <w:ind w:left="4320" w:hanging="360"/>
      </w:pPr>
      <w:rPr>
        <w:rFonts w:ascii="Wingdings" w:hAnsi="Wingdings"/>
      </w:rPr>
    </w:lvl>
    <w:lvl w:ilvl="6" w:tplc="D08C1DAC">
      <w:start w:val="1"/>
      <w:numFmt w:val="bullet"/>
      <w:lvlText w:val=""/>
      <w:lvlJc w:val="left"/>
      <w:pPr>
        <w:tabs>
          <w:tab w:val="num" w:pos="5040"/>
        </w:tabs>
        <w:ind w:left="5040" w:hanging="360"/>
      </w:pPr>
      <w:rPr>
        <w:rFonts w:ascii="Symbol" w:hAnsi="Symbol"/>
      </w:rPr>
    </w:lvl>
    <w:lvl w:ilvl="7" w:tplc="97B0AFE2">
      <w:start w:val="1"/>
      <w:numFmt w:val="bullet"/>
      <w:lvlText w:val="o"/>
      <w:lvlJc w:val="left"/>
      <w:pPr>
        <w:tabs>
          <w:tab w:val="num" w:pos="5760"/>
        </w:tabs>
        <w:ind w:left="5760" w:hanging="360"/>
      </w:pPr>
      <w:rPr>
        <w:rFonts w:ascii="Courier New" w:hAnsi="Courier New"/>
      </w:rPr>
    </w:lvl>
    <w:lvl w:ilvl="8" w:tplc="DC5C4C3C">
      <w:start w:val="1"/>
      <w:numFmt w:val="bullet"/>
      <w:lvlText w:val=""/>
      <w:lvlJc w:val="left"/>
      <w:pPr>
        <w:tabs>
          <w:tab w:val="num" w:pos="6480"/>
        </w:tabs>
        <w:ind w:left="6480" w:hanging="360"/>
      </w:pPr>
      <w:rPr>
        <w:rFonts w:ascii="Wingdings" w:hAnsi="Wingdings"/>
      </w:rPr>
    </w:lvl>
  </w:abstractNum>
  <w:abstractNum w:abstractNumId="52">
    <w:nsid w:val="722304F6"/>
    <w:multiLevelType w:val="hybridMultilevel"/>
    <w:tmpl w:val="722304F6"/>
    <w:lvl w:ilvl="0" w:tplc="C73CC508">
      <w:start w:val="1"/>
      <w:numFmt w:val="bullet"/>
      <w:lvlText w:val=""/>
      <w:lvlJc w:val="left"/>
      <w:pPr>
        <w:ind w:left="720" w:hanging="360"/>
      </w:pPr>
      <w:rPr>
        <w:rFonts w:ascii="Symbol" w:hAnsi="Symbol"/>
      </w:rPr>
    </w:lvl>
    <w:lvl w:ilvl="1" w:tplc="682E42AA">
      <w:start w:val="1"/>
      <w:numFmt w:val="bullet"/>
      <w:lvlText w:val="o"/>
      <w:lvlJc w:val="left"/>
      <w:pPr>
        <w:tabs>
          <w:tab w:val="num" w:pos="1440"/>
        </w:tabs>
        <w:ind w:left="1440" w:hanging="360"/>
      </w:pPr>
      <w:rPr>
        <w:rFonts w:ascii="Courier New" w:hAnsi="Courier New"/>
      </w:rPr>
    </w:lvl>
    <w:lvl w:ilvl="2" w:tplc="F4506346">
      <w:start w:val="1"/>
      <w:numFmt w:val="bullet"/>
      <w:lvlText w:val=""/>
      <w:lvlJc w:val="left"/>
      <w:pPr>
        <w:tabs>
          <w:tab w:val="num" w:pos="2160"/>
        </w:tabs>
        <w:ind w:left="2160" w:hanging="360"/>
      </w:pPr>
      <w:rPr>
        <w:rFonts w:ascii="Wingdings" w:hAnsi="Wingdings"/>
      </w:rPr>
    </w:lvl>
    <w:lvl w:ilvl="3" w:tplc="F55ED7AA">
      <w:start w:val="1"/>
      <w:numFmt w:val="bullet"/>
      <w:lvlText w:val=""/>
      <w:lvlJc w:val="left"/>
      <w:pPr>
        <w:tabs>
          <w:tab w:val="num" w:pos="2880"/>
        </w:tabs>
        <w:ind w:left="2880" w:hanging="360"/>
      </w:pPr>
      <w:rPr>
        <w:rFonts w:ascii="Symbol" w:hAnsi="Symbol"/>
      </w:rPr>
    </w:lvl>
    <w:lvl w:ilvl="4" w:tplc="2626ED94">
      <w:start w:val="1"/>
      <w:numFmt w:val="bullet"/>
      <w:lvlText w:val="o"/>
      <w:lvlJc w:val="left"/>
      <w:pPr>
        <w:tabs>
          <w:tab w:val="num" w:pos="3600"/>
        </w:tabs>
        <w:ind w:left="3600" w:hanging="360"/>
      </w:pPr>
      <w:rPr>
        <w:rFonts w:ascii="Courier New" w:hAnsi="Courier New"/>
      </w:rPr>
    </w:lvl>
    <w:lvl w:ilvl="5" w:tplc="F8069FA8">
      <w:start w:val="1"/>
      <w:numFmt w:val="bullet"/>
      <w:lvlText w:val=""/>
      <w:lvlJc w:val="left"/>
      <w:pPr>
        <w:tabs>
          <w:tab w:val="num" w:pos="4320"/>
        </w:tabs>
        <w:ind w:left="4320" w:hanging="360"/>
      </w:pPr>
      <w:rPr>
        <w:rFonts w:ascii="Wingdings" w:hAnsi="Wingdings"/>
      </w:rPr>
    </w:lvl>
    <w:lvl w:ilvl="6" w:tplc="84B46900">
      <w:start w:val="1"/>
      <w:numFmt w:val="bullet"/>
      <w:lvlText w:val=""/>
      <w:lvlJc w:val="left"/>
      <w:pPr>
        <w:tabs>
          <w:tab w:val="num" w:pos="5040"/>
        </w:tabs>
        <w:ind w:left="5040" w:hanging="360"/>
      </w:pPr>
      <w:rPr>
        <w:rFonts w:ascii="Symbol" w:hAnsi="Symbol"/>
      </w:rPr>
    </w:lvl>
    <w:lvl w:ilvl="7" w:tplc="9E4A2996">
      <w:start w:val="1"/>
      <w:numFmt w:val="bullet"/>
      <w:lvlText w:val="o"/>
      <w:lvlJc w:val="left"/>
      <w:pPr>
        <w:tabs>
          <w:tab w:val="num" w:pos="5760"/>
        </w:tabs>
        <w:ind w:left="5760" w:hanging="360"/>
      </w:pPr>
      <w:rPr>
        <w:rFonts w:ascii="Courier New" w:hAnsi="Courier New"/>
      </w:rPr>
    </w:lvl>
    <w:lvl w:ilvl="8" w:tplc="ECAAEDD4">
      <w:start w:val="1"/>
      <w:numFmt w:val="bullet"/>
      <w:lvlText w:val=""/>
      <w:lvlJc w:val="left"/>
      <w:pPr>
        <w:tabs>
          <w:tab w:val="num" w:pos="6480"/>
        </w:tabs>
        <w:ind w:left="6480" w:hanging="360"/>
      </w:pPr>
      <w:rPr>
        <w:rFonts w:ascii="Wingdings" w:hAnsi="Wingdings"/>
      </w:rPr>
    </w:lvl>
  </w:abstractNum>
  <w:abstractNum w:abstractNumId="53">
    <w:nsid w:val="722304F7"/>
    <w:multiLevelType w:val="hybridMultilevel"/>
    <w:tmpl w:val="722304F7"/>
    <w:lvl w:ilvl="0" w:tplc="00506A74">
      <w:start w:val="1"/>
      <w:numFmt w:val="bullet"/>
      <w:lvlText w:val=""/>
      <w:lvlJc w:val="left"/>
      <w:pPr>
        <w:ind w:left="720" w:hanging="360"/>
      </w:pPr>
      <w:rPr>
        <w:rFonts w:ascii="Symbol" w:hAnsi="Symbol"/>
      </w:rPr>
    </w:lvl>
    <w:lvl w:ilvl="1" w:tplc="42D694C0">
      <w:start w:val="1"/>
      <w:numFmt w:val="bullet"/>
      <w:lvlText w:val="o"/>
      <w:lvlJc w:val="left"/>
      <w:pPr>
        <w:tabs>
          <w:tab w:val="num" w:pos="1440"/>
        </w:tabs>
        <w:ind w:left="1440" w:hanging="360"/>
      </w:pPr>
      <w:rPr>
        <w:rFonts w:ascii="Courier New" w:hAnsi="Courier New"/>
      </w:rPr>
    </w:lvl>
    <w:lvl w:ilvl="2" w:tplc="2BD04762">
      <w:start w:val="1"/>
      <w:numFmt w:val="bullet"/>
      <w:lvlText w:val=""/>
      <w:lvlJc w:val="left"/>
      <w:pPr>
        <w:tabs>
          <w:tab w:val="num" w:pos="2160"/>
        </w:tabs>
        <w:ind w:left="2160" w:hanging="360"/>
      </w:pPr>
      <w:rPr>
        <w:rFonts w:ascii="Wingdings" w:hAnsi="Wingdings"/>
      </w:rPr>
    </w:lvl>
    <w:lvl w:ilvl="3" w:tplc="0672B116">
      <w:start w:val="1"/>
      <w:numFmt w:val="bullet"/>
      <w:lvlText w:val=""/>
      <w:lvlJc w:val="left"/>
      <w:pPr>
        <w:tabs>
          <w:tab w:val="num" w:pos="2880"/>
        </w:tabs>
        <w:ind w:left="2880" w:hanging="360"/>
      </w:pPr>
      <w:rPr>
        <w:rFonts w:ascii="Symbol" w:hAnsi="Symbol"/>
      </w:rPr>
    </w:lvl>
    <w:lvl w:ilvl="4" w:tplc="17241B92">
      <w:start w:val="1"/>
      <w:numFmt w:val="bullet"/>
      <w:lvlText w:val="o"/>
      <w:lvlJc w:val="left"/>
      <w:pPr>
        <w:tabs>
          <w:tab w:val="num" w:pos="3600"/>
        </w:tabs>
        <w:ind w:left="3600" w:hanging="360"/>
      </w:pPr>
      <w:rPr>
        <w:rFonts w:ascii="Courier New" w:hAnsi="Courier New"/>
      </w:rPr>
    </w:lvl>
    <w:lvl w:ilvl="5" w:tplc="27F2C33C">
      <w:start w:val="1"/>
      <w:numFmt w:val="bullet"/>
      <w:lvlText w:val=""/>
      <w:lvlJc w:val="left"/>
      <w:pPr>
        <w:tabs>
          <w:tab w:val="num" w:pos="4320"/>
        </w:tabs>
        <w:ind w:left="4320" w:hanging="360"/>
      </w:pPr>
      <w:rPr>
        <w:rFonts w:ascii="Wingdings" w:hAnsi="Wingdings"/>
      </w:rPr>
    </w:lvl>
    <w:lvl w:ilvl="6" w:tplc="4DFC1F0E">
      <w:start w:val="1"/>
      <w:numFmt w:val="bullet"/>
      <w:lvlText w:val=""/>
      <w:lvlJc w:val="left"/>
      <w:pPr>
        <w:tabs>
          <w:tab w:val="num" w:pos="5040"/>
        </w:tabs>
        <w:ind w:left="5040" w:hanging="360"/>
      </w:pPr>
      <w:rPr>
        <w:rFonts w:ascii="Symbol" w:hAnsi="Symbol"/>
      </w:rPr>
    </w:lvl>
    <w:lvl w:ilvl="7" w:tplc="A4C22A44">
      <w:start w:val="1"/>
      <w:numFmt w:val="bullet"/>
      <w:lvlText w:val="o"/>
      <w:lvlJc w:val="left"/>
      <w:pPr>
        <w:tabs>
          <w:tab w:val="num" w:pos="5760"/>
        </w:tabs>
        <w:ind w:left="5760" w:hanging="360"/>
      </w:pPr>
      <w:rPr>
        <w:rFonts w:ascii="Courier New" w:hAnsi="Courier New"/>
      </w:rPr>
    </w:lvl>
    <w:lvl w:ilvl="8" w:tplc="DC88E572">
      <w:start w:val="1"/>
      <w:numFmt w:val="bullet"/>
      <w:lvlText w:val=""/>
      <w:lvlJc w:val="left"/>
      <w:pPr>
        <w:tabs>
          <w:tab w:val="num" w:pos="6480"/>
        </w:tabs>
        <w:ind w:left="6480" w:hanging="360"/>
      </w:pPr>
      <w:rPr>
        <w:rFonts w:ascii="Wingdings" w:hAnsi="Wingdings"/>
      </w:rPr>
    </w:lvl>
  </w:abstractNum>
  <w:abstractNum w:abstractNumId="54">
    <w:nsid w:val="722304F8"/>
    <w:multiLevelType w:val="hybridMultilevel"/>
    <w:tmpl w:val="722304F8"/>
    <w:lvl w:ilvl="0" w:tplc="07A6B158">
      <w:start w:val="1"/>
      <w:numFmt w:val="bullet"/>
      <w:lvlText w:val=""/>
      <w:lvlJc w:val="left"/>
      <w:pPr>
        <w:ind w:left="720" w:hanging="360"/>
      </w:pPr>
      <w:rPr>
        <w:rFonts w:ascii="Symbol" w:hAnsi="Symbol"/>
      </w:rPr>
    </w:lvl>
    <w:lvl w:ilvl="1" w:tplc="F89629EA">
      <w:start w:val="1"/>
      <w:numFmt w:val="bullet"/>
      <w:lvlText w:val="o"/>
      <w:lvlJc w:val="left"/>
      <w:pPr>
        <w:tabs>
          <w:tab w:val="num" w:pos="1440"/>
        </w:tabs>
        <w:ind w:left="1440" w:hanging="360"/>
      </w:pPr>
      <w:rPr>
        <w:rFonts w:ascii="Courier New" w:hAnsi="Courier New"/>
      </w:rPr>
    </w:lvl>
    <w:lvl w:ilvl="2" w:tplc="4A32F34A">
      <w:start w:val="1"/>
      <w:numFmt w:val="bullet"/>
      <w:lvlText w:val=""/>
      <w:lvlJc w:val="left"/>
      <w:pPr>
        <w:tabs>
          <w:tab w:val="num" w:pos="2160"/>
        </w:tabs>
        <w:ind w:left="2160" w:hanging="360"/>
      </w:pPr>
      <w:rPr>
        <w:rFonts w:ascii="Wingdings" w:hAnsi="Wingdings"/>
      </w:rPr>
    </w:lvl>
    <w:lvl w:ilvl="3" w:tplc="F0FA3A7E">
      <w:start w:val="1"/>
      <w:numFmt w:val="bullet"/>
      <w:lvlText w:val=""/>
      <w:lvlJc w:val="left"/>
      <w:pPr>
        <w:tabs>
          <w:tab w:val="num" w:pos="2880"/>
        </w:tabs>
        <w:ind w:left="2880" w:hanging="360"/>
      </w:pPr>
      <w:rPr>
        <w:rFonts w:ascii="Symbol" w:hAnsi="Symbol"/>
      </w:rPr>
    </w:lvl>
    <w:lvl w:ilvl="4" w:tplc="3BFA5264">
      <w:start w:val="1"/>
      <w:numFmt w:val="bullet"/>
      <w:lvlText w:val="o"/>
      <w:lvlJc w:val="left"/>
      <w:pPr>
        <w:tabs>
          <w:tab w:val="num" w:pos="3600"/>
        </w:tabs>
        <w:ind w:left="3600" w:hanging="360"/>
      </w:pPr>
      <w:rPr>
        <w:rFonts w:ascii="Courier New" w:hAnsi="Courier New"/>
      </w:rPr>
    </w:lvl>
    <w:lvl w:ilvl="5" w:tplc="2346B54C">
      <w:start w:val="1"/>
      <w:numFmt w:val="bullet"/>
      <w:lvlText w:val=""/>
      <w:lvlJc w:val="left"/>
      <w:pPr>
        <w:tabs>
          <w:tab w:val="num" w:pos="4320"/>
        </w:tabs>
        <w:ind w:left="4320" w:hanging="360"/>
      </w:pPr>
      <w:rPr>
        <w:rFonts w:ascii="Wingdings" w:hAnsi="Wingdings"/>
      </w:rPr>
    </w:lvl>
    <w:lvl w:ilvl="6" w:tplc="BD12F186">
      <w:start w:val="1"/>
      <w:numFmt w:val="bullet"/>
      <w:lvlText w:val=""/>
      <w:lvlJc w:val="left"/>
      <w:pPr>
        <w:tabs>
          <w:tab w:val="num" w:pos="5040"/>
        </w:tabs>
        <w:ind w:left="5040" w:hanging="360"/>
      </w:pPr>
      <w:rPr>
        <w:rFonts w:ascii="Symbol" w:hAnsi="Symbol"/>
      </w:rPr>
    </w:lvl>
    <w:lvl w:ilvl="7" w:tplc="6B7252D4">
      <w:start w:val="1"/>
      <w:numFmt w:val="bullet"/>
      <w:lvlText w:val="o"/>
      <w:lvlJc w:val="left"/>
      <w:pPr>
        <w:tabs>
          <w:tab w:val="num" w:pos="5760"/>
        </w:tabs>
        <w:ind w:left="5760" w:hanging="360"/>
      </w:pPr>
      <w:rPr>
        <w:rFonts w:ascii="Courier New" w:hAnsi="Courier New"/>
      </w:rPr>
    </w:lvl>
    <w:lvl w:ilvl="8" w:tplc="1EC8380A">
      <w:start w:val="1"/>
      <w:numFmt w:val="bullet"/>
      <w:lvlText w:val=""/>
      <w:lvlJc w:val="left"/>
      <w:pPr>
        <w:tabs>
          <w:tab w:val="num" w:pos="6480"/>
        </w:tabs>
        <w:ind w:left="6480" w:hanging="360"/>
      </w:pPr>
      <w:rPr>
        <w:rFonts w:ascii="Wingdings" w:hAnsi="Wingdings"/>
      </w:rPr>
    </w:lvl>
  </w:abstractNum>
  <w:abstractNum w:abstractNumId="55">
    <w:nsid w:val="722304F9"/>
    <w:multiLevelType w:val="hybridMultilevel"/>
    <w:tmpl w:val="722304F9"/>
    <w:lvl w:ilvl="0" w:tplc="3FEE1BAC">
      <w:start w:val="1"/>
      <w:numFmt w:val="bullet"/>
      <w:lvlText w:val=""/>
      <w:lvlJc w:val="left"/>
      <w:pPr>
        <w:ind w:left="720" w:hanging="360"/>
      </w:pPr>
      <w:rPr>
        <w:rFonts w:ascii="Symbol" w:hAnsi="Symbol"/>
      </w:rPr>
    </w:lvl>
    <w:lvl w:ilvl="1" w:tplc="F42C05BC">
      <w:start w:val="1"/>
      <w:numFmt w:val="bullet"/>
      <w:lvlText w:val="o"/>
      <w:lvlJc w:val="left"/>
      <w:pPr>
        <w:tabs>
          <w:tab w:val="num" w:pos="1440"/>
        </w:tabs>
        <w:ind w:left="1440" w:hanging="360"/>
      </w:pPr>
      <w:rPr>
        <w:rFonts w:ascii="Courier New" w:hAnsi="Courier New"/>
      </w:rPr>
    </w:lvl>
    <w:lvl w:ilvl="2" w:tplc="4FD65222">
      <w:start w:val="1"/>
      <w:numFmt w:val="bullet"/>
      <w:lvlText w:val=""/>
      <w:lvlJc w:val="left"/>
      <w:pPr>
        <w:tabs>
          <w:tab w:val="num" w:pos="2160"/>
        </w:tabs>
        <w:ind w:left="2160" w:hanging="360"/>
      </w:pPr>
      <w:rPr>
        <w:rFonts w:ascii="Wingdings" w:hAnsi="Wingdings"/>
      </w:rPr>
    </w:lvl>
    <w:lvl w:ilvl="3" w:tplc="7A5C912A">
      <w:start w:val="1"/>
      <w:numFmt w:val="bullet"/>
      <w:lvlText w:val=""/>
      <w:lvlJc w:val="left"/>
      <w:pPr>
        <w:tabs>
          <w:tab w:val="num" w:pos="2880"/>
        </w:tabs>
        <w:ind w:left="2880" w:hanging="360"/>
      </w:pPr>
      <w:rPr>
        <w:rFonts w:ascii="Symbol" w:hAnsi="Symbol"/>
      </w:rPr>
    </w:lvl>
    <w:lvl w:ilvl="4" w:tplc="5EE88518">
      <w:start w:val="1"/>
      <w:numFmt w:val="bullet"/>
      <w:lvlText w:val="o"/>
      <w:lvlJc w:val="left"/>
      <w:pPr>
        <w:tabs>
          <w:tab w:val="num" w:pos="3600"/>
        </w:tabs>
        <w:ind w:left="3600" w:hanging="360"/>
      </w:pPr>
      <w:rPr>
        <w:rFonts w:ascii="Courier New" w:hAnsi="Courier New"/>
      </w:rPr>
    </w:lvl>
    <w:lvl w:ilvl="5" w:tplc="8A403564">
      <w:start w:val="1"/>
      <w:numFmt w:val="bullet"/>
      <w:lvlText w:val=""/>
      <w:lvlJc w:val="left"/>
      <w:pPr>
        <w:tabs>
          <w:tab w:val="num" w:pos="4320"/>
        </w:tabs>
        <w:ind w:left="4320" w:hanging="360"/>
      </w:pPr>
      <w:rPr>
        <w:rFonts w:ascii="Wingdings" w:hAnsi="Wingdings"/>
      </w:rPr>
    </w:lvl>
    <w:lvl w:ilvl="6" w:tplc="BA9EF8F0">
      <w:start w:val="1"/>
      <w:numFmt w:val="bullet"/>
      <w:lvlText w:val=""/>
      <w:lvlJc w:val="left"/>
      <w:pPr>
        <w:tabs>
          <w:tab w:val="num" w:pos="5040"/>
        </w:tabs>
        <w:ind w:left="5040" w:hanging="360"/>
      </w:pPr>
      <w:rPr>
        <w:rFonts w:ascii="Symbol" w:hAnsi="Symbol"/>
      </w:rPr>
    </w:lvl>
    <w:lvl w:ilvl="7" w:tplc="A614E658">
      <w:start w:val="1"/>
      <w:numFmt w:val="bullet"/>
      <w:lvlText w:val="o"/>
      <w:lvlJc w:val="left"/>
      <w:pPr>
        <w:tabs>
          <w:tab w:val="num" w:pos="5760"/>
        </w:tabs>
        <w:ind w:left="5760" w:hanging="360"/>
      </w:pPr>
      <w:rPr>
        <w:rFonts w:ascii="Courier New" w:hAnsi="Courier New"/>
      </w:rPr>
    </w:lvl>
    <w:lvl w:ilvl="8" w:tplc="731A1226">
      <w:start w:val="1"/>
      <w:numFmt w:val="bullet"/>
      <w:lvlText w:val=""/>
      <w:lvlJc w:val="left"/>
      <w:pPr>
        <w:tabs>
          <w:tab w:val="num" w:pos="6480"/>
        </w:tabs>
        <w:ind w:left="6480" w:hanging="360"/>
      </w:pPr>
      <w:rPr>
        <w:rFonts w:ascii="Wingdings" w:hAnsi="Wingdings"/>
      </w:rPr>
    </w:lvl>
  </w:abstractNum>
  <w:abstractNum w:abstractNumId="56">
    <w:nsid w:val="722304FA"/>
    <w:multiLevelType w:val="hybridMultilevel"/>
    <w:tmpl w:val="722304FA"/>
    <w:lvl w:ilvl="0" w:tplc="34C02F08">
      <w:start w:val="1"/>
      <w:numFmt w:val="bullet"/>
      <w:lvlText w:val=""/>
      <w:lvlJc w:val="left"/>
      <w:pPr>
        <w:ind w:left="720" w:hanging="360"/>
      </w:pPr>
      <w:rPr>
        <w:rFonts w:ascii="Symbol" w:hAnsi="Symbol"/>
      </w:rPr>
    </w:lvl>
    <w:lvl w:ilvl="1" w:tplc="8FFE6F20">
      <w:start w:val="1"/>
      <w:numFmt w:val="bullet"/>
      <w:lvlText w:val="o"/>
      <w:lvlJc w:val="left"/>
      <w:pPr>
        <w:tabs>
          <w:tab w:val="num" w:pos="1440"/>
        </w:tabs>
        <w:ind w:left="1440" w:hanging="360"/>
      </w:pPr>
      <w:rPr>
        <w:rFonts w:ascii="Courier New" w:hAnsi="Courier New"/>
      </w:rPr>
    </w:lvl>
    <w:lvl w:ilvl="2" w:tplc="C2A02096">
      <w:start w:val="1"/>
      <w:numFmt w:val="bullet"/>
      <w:lvlText w:val=""/>
      <w:lvlJc w:val="left"/>
      <w:pPr>
        <w:tabs>
          <w:tab w:val="num" w:pos="2160"/>
        </w:tabs>
        <w:ind w:left="2160" w:hanging="360"/>
      </w:pPr>
      <w:rPr>
        <w:rFonts w:ascii="Wingdings" w:hAnsi="Wingdings"/>
      </w:rPr>
    </w:lvl>
    <w:lvl w:ilvl="3" w:tplc="63B48E5A">
      <w:start w:val="1"/>
      <w:numFmt w:val="bullet"/>
      <w:lvlText w:val=""/>
      <w:lvlJc w:val="left"/>
      <w:pPr>
        <w:tabs>
          <w:tab w:val="num" w:pos="2880"/>
        </w:tabs>
        <w:ind w:left="2880" w:hanging="360"/>
      </w:pPr>
      <w:rPr>
        <w:rFonts w:ascii="Symbol" w:hAnsi="Symbol"/>
      </w:rPr>
    </w:lvl>
    <w:lvl w:ilvl="4" w:tplc="9E7A3540">
      <w:start w:val="1"/>
      <w:numFmt w:val="bullet"/>
      <w:lvlText w:val="o"/>
      <w:lvlJc w:val="left"/>
      <w:pPr>
        <w:tabs>
          <w:tab w:val="num" w:pos="3600"/>
        </w:tabs>
        <w:ind w:left="3600" w:hanging="360"/>
      </w:pPr>
      <w:rPr>
        <w:rFonts w:ascii="Courier New" w:hAnsi="Courier New"/>
      </w:rPr>
    </w:lvl>
    <w:lvl w:ilvl="5" w:tplc="68CA8AE4">
      <w:start w:val="1"/>
      <w:numFmt w:val="bullet"/>
      <w:lvlText w:val=""/>
      <w:lvlJc w:val="left"/>
      <w:pPr>
        <w:tabs>
          <w:tab w:val="num" w:pos="4320"/>
        </w:tabs>
        <w:ind w:left="4320" w:hanging="360"/>
      </w:pPr>
      <w:rPr>
        <w:rFonts w:ascii="Wingdings" w:hAnsi="Wingdings"/>
      </w:rPr>
    </w:lvl>
    <w:lvl w:ilvl="6" w:tplc="D062EA8E">
      <w:start w:val="1"/>
      <w:numFmt w:val="bullet"/>
      <w:lvlText w:val=""/>
      <w:lvlJc w:val="left"/>
      <w:pPr>
        <w:tabs>
          <w:tab w:val="num" w:pos="5040"/>
        </w:tabs>
        <w:ind w:left="5040" w:hanging="360"/>
      </w:pPr>
      <w:rPr>
        <w:rFonts w:ascii="Symbol" w:hAnsi="Symbol"/>
      </w:rPr>
    </w:lvl>
    <w:lvl w:ilvl="7" w:tplc="E69A51B2">
      <w:start w:val="1"/>
      <w:numFmt w:val="bullet"/>
      <w:lvlText w:val="o"/>
      <w:lvlJc w:val="left"/>
      <w:pPr>
        <w:tabs>
          <w:tab w:val="num" w:pos="5760"/>
        </w:tabs>
        <w:ind w:left="5760" w:hanging="360"/>
      </w:pPr>
      <w:rPr>
        <w:rFonts w:ascii="Courier New" w:hAnsi="Courier New"/>
      </w:rPr>
    </w:lvl>
    <w:lvl w:ilvl="8" w:tplc="99D6278C">
      <w:start w:val="1"/>
      <w:numFmt w:val="bullet"/>
      <w:lvlText w:val=""/>
      <w:lvlJc w:val="left"/>
      <w:pPr>
        <w:tabs>
          <w:tab w:val="num" w:pos="6480"/>
        </w:tabs>
        <w:ind w:left="6480" w:hanging="360"/>
      </w:pPr>
      <w:rPr>
        <w:rFonts w:ascii="Wingdings" w:hAnsi="Wingdings"/>
      </w:rPr>
    </w:lvl>
  </w:abstractNum>
  <w:abstractNum w:abstractNumId="57">
    <w:nsid w:val="722304FB"/>
    <w:multiLevelType w:val="hybridMultilevel"/>
    <w:tmpl w:val="722304FB"/>
    <w:lvl w:ilvl="0" w:tplc="DD94F902">
      <w:start w:val="1"/>
      <w:numFmt w:val="bullet"/>
      <w:lvlText w:val=""/>
      <w:lvlJc w:val="left"/>
      <w:pPr>
        <w:ind w:left="720" w:hanging="360"/>
      </w:pPr>
      <w:rPr>
        <w:rFonts w:ascii="Symbol" w:hAnsi="Symbol"/>
      </w:rPr>
    </w:lvl>
    <w:lvl w:ilvl="1" w:tplc="72500B12">
      <w:start w:val="1"/>
      <w:numFmt w:val="bullet"/>
      <w:lvlText w:val="o"/>
      <w:lvlJc w:val="left"/>
      <w:pPr>
        <w:tabs>
          <w:tab w:val="num" w:pos="1440"/>
        </w:tabs>
        <w:ind w:left="1440" w:hanging="360"/>
      </w:pPr>
      <w:rPr>
        <w:rFonts w:ascii="Courier New" w:hAnsi="Courier New"/>
      </w:rPr>
    </w:lvl>
    <w:lvl w:ilvl="2" w:tplc="334A290E">
      <w:start w:val="1"/>
      <w:numFmt w:val="bullet"/>
      <w:lvlText w:val=""/>
      <w:lvlJc w:val="left"/>
      <w:pPr>
        <w:tabs>
          <w:tab w:val="num" w:pos="2160"/>
        </w:tabs>
        <w:ind w:left="2160" w:hanging="360"/>
      </w:pPr>
      <w:rPr>
        <w:rFonts w:ascii="Wingdings" w:hAnsi="Wingdings"/>
      </w:rPr>
    </w:lvl>
    <w:lvl w:ilvl="3" w:tplc="81C845A0">
      <w:start w:val="1"/>
      <w:numFmt w:val="bullet"/>
      <w:lvlText w:val=""/>
      <w:lvlJc w:val="left"/>
      <w:pPr>
        <w:tabs>
          <w:tab w:val="num" w:pos="2880"/>
        </w:tabs>
        <w:ind w:left="2880" w:hanging="360"/>
      </w:pPr>
      <w:rPr>
        <w:rFonts w:ascii="Symbol" w:hAnsi="Symbol"/>
      </w:rPr>
    </w:lvl>
    <w:lvl w:ilvl="4" w:tplc="6F4C4354">
      <w:start w:val="1"/>
      <w:numFmt w:val="bullet"/>
      <w:lvlText w:val="o"/>
      <w:lvlJc w:val="left"/>
      <w:pPr>
        <w:tabs>
          <w:tab w:val="num" w:pos="3600"/>
        </w:tabs>
        <w:ind w:left="3600" w:hanging="360"/>
      </w:pPr>
      <w:rPr>
        <w:rFonts w:ascii="Courier New" w:hAnsi="Courier New"/>
      </w:rPr>
    </w:lvl>
    <w:lvl w:ilvl="5" w:tplc="779C3A5C">
      <w:start w:val="1"/>
      <w:numFmt w:val="bullet"/>
      <w:lvlText w:val=""/>
      <w:lvlJc w:val="left"/>
      <w:pPr>
        <w:tabs>
          <w:tab w:val="num" w:pos="4320"/>
        </w:tabs>
        <w:ind w:left="4320" w:hanging="360"/>
      </w:pPr>
      <w:rPr>
        <w:rFonts w:ascii="Wingdings" w:hAnsi="Wingdings"/>
      </w:rPr>
    </w:lvl>
    <w:lvl w:ilvl="6" w:tplc="34C6E64A">
      <w:start w:val="1"/>
      <w:numFmt w:val="bullet"/>
      <w:lvlText w:val=""/>
      <w:lvlJc w:val="left"/>
      <w:pPr>
        <w:tabs>
          <w:tab w:val="num" w:pos="5040"/>
        </w:tabs>
        <w:ind w:left="5040" w:hanging="360"/>
      </w:pPr>
      <w:rPr>
        <w:rFonts w:ascii="Symbol" w:hAnsi="Symbol"/>
      </w:rPr>
    </w:lvl>
    <w:lvl w:ilvl="7" w:tplc="4058EECA">
      <w:start w:val="1"/>
      <w:numFmt w:val="bullet"/>
      <w:lvlText w:val="o"/>
      <w:lvlJc w:val="left"/>
      <w:pPr>
        <w:tabs>
          <w:tab w:val="num" w:pos="5760"/>
        </w:tabs>
        <w:ind w:left="5760" w:hanging="360"/>
      </w:pPr>
      <w:rPr>
        <w:rFonts w:ascii="Courier New" w:hAnsi="Courier New"/>
      </w:rPr>
    </w:lvl>
    <w:lvl w:ilvl="8" w:tplc="7AB4CB42">
      <w:start w:val="1"/>
      <w:numFmt w:val="bullet"/>
      <w:lvlText w:val=""/>
      <w:lvlJc w:val="left"/>
      <w:pPr>
        <w:tabs>
          <w:tab w:val="num" w:pos="6480"/>
        </w:tabs>
        <w:ind w:left="6480" w:hanging="360"/>
      </w:pPr>
      <w:rPr>
        <w:rFonts w:ascii="Wingdings" w:hAnsi="Wingdings"/>
      </w:rPr>
    </w:lvl>
  </w:abstractNum>
  <w:abstractNum w:abstractNumId="58">
    <w:nsid w:val="722304FC"/>
    <w:multiLevelType w:val="hybridMultilevel"/>
    <w:tmpl w:val="722304FC"/>
    <w:lvl w:ilvl="0" w:tplc="4B3CD0AC">
      <w:start w:val="1"/>
      <w:numFmt w:val="bullet"/>
      <w:lvlText w:val=""/>
      <w:lvlJc w:val="left"/>
      <w:pPr>
        <w:ind w:left="720" w:hanging="360"/>
      </w:pPr>
      <w:rPr>
        <w:rFonts w:ascii="Symbol" w:hAnsi="Symbol"/>
      </w:rPr>
    </w:lvl>
    <w:lvl w:ilvl="1" w:tplc="E682AFF4">
      <w:start w:val="1"/>
      <w:numFmt w:val="bullet"/>
      <w:lvlText w:val="o"/>
      <w:lvlJc w:val="left"/>
      <w:pPr>
        <w:tabs>
          <w:tab w:val="num" w:pos="1440"/>
        </w:tabs>
        <w:ind w:left="1440" w:hanging="360"/>
      </w:pPr>
      <w:rPr>
        <w:rFonts w:ascii="Courier New" w:hAnsi="Courier New"/>
      </w:rPr>
    </w:lvl>
    <w:lvl w:ilvl="2" w:tplc="CCAC5832">
      <w:start w:val="1"/>
      <w:numFmt w:val="bullet"/>
      <w:lvlText w:val=""/>
      <w:lvlJc w:val="left"/>
      <w:pPr>
        <w:tabs>
          <w:tab w:val="num" w:pos="2160"/>
        </w:tabs>
        <w:ind w:left="2160" w:hanging="360"/>
      </w:pPr>
      <w:rPr>
        <w:rFonts w:ascii="Wingdings" w:hAnsi="Wingdings"/>
      </w:rPr>
    </w:lvl>
    <w:lvl w:ilvl="3" w:tplc="1122881A">
      <w:start w:val="1"/>
      <w:numFmt w:val="bullet"/>
      <w:lvlText w:val=""/>
      <w:lvlJc w:val="left"/>
      <w:pPr>
        <w:tabs>
          <w:tab w:val="num" w:pos="2880"/>
        </w:tabs>
        <w:ind w:left="2880" w:hanging="360"/>
      </w:pPr>
      <w:rPr>
        <w:rFonts w:ascii="Symbol" w:hAnsi="Symbol"/>
      </w:rPr>
    </w:lvl>
    <w:lvl w:ilvl="4" w:tplc="D07817B2">
      <w:start w:val="1"/>
      <w:numFmt w:val="bullet"/>
      <w:lvlText w:val="o"/>
      <w:lvlJc w:val="left"/>
      <w:pPr>
        <w:tabs>
          <w:tab w:val="num" w:pos="3600"/>
        </w:tabs>
        <w:ind w:left="3600" w:hanging="360"/>
      </w:pPr>
      <w:rPr>
        <w:rFonts w:ascii="Courier New" w:hAnsi="Courier New"/>
      </w:rPr>
    </w:lvl>
    <w:lvl w:ilvl="5" w:tplc="531E159E">
      <w:start w:val="1"/>
      <w:numFmt w:val="bullet"/>
      <w:lvlText w:val=""/>
      <w:lvlJc w:val="left"/>
      <w:pPr>
        <w:tabs>
          <w:tab w:val="num" w:pos="4320"/>
        </w:tabs>
        <w:ind w:left="4320" w:hanging="360"/>
      </w:pPr>
      <w:rPr>
        <w:rFonts w:ascii="Wingdings" w:hAnsi="Wingdings"/>
      </w:rPr>
    </w:lvl>
    <w:lvl w:ilvl="6" w:tplc="B802C370">
      <w:start w:val="1"/>
      <w:numFmt w:val="bullet"/>
      <w:lvlText w:val=""/>
      <w:lvlJc w:val="left"/>
      <w:pPr>
        <w:tabs>
          <w:tab w:val="num" w:pos="5040"/>
        </w:tabs>
        <w:ind w:left="5040" w:hanging="360"/>
      </w:pPr>
      <w:rPr>
        <w:rFonts w:ascii="Symbol" w:hAnsi="Symbol"/>
      </w:rPr>
    </w:lvl>
    <w:lvl w:ilvl="7" w:tplc="243A2CBC">
      <w:start w:val="1"/>
      <w:numFmt w:val="bullet"/>
      <w:lvlText w:val="o"/>
      <w:lvlJc w:val="left"/>
      <w:pPr>
        <w:tabs>
          <w:tab w:val="num" w:pos="5760"/>
        </w:tabs>
        <w:ind w:left="5760" w:hanging="360"/>
      </w:pPr>
      <w:rPr>
        <w:rFonts w:ascii="Courier New" w:hAnsi="Courier New"/>
      </w:rPr>
    </w:lvl>
    <w:lvl w:ilvl="8" w:tplc="8522D17A">
      <w:start w:val="1"/>
      <w:numFmt w:val="bullet"/>
      <w:lvlText w:val=""/>
      <w:lvlJc w:val="left"/>
      <w:pPr>
        <w:tabs>
          <w:tab w:val="num" w:pos="6480"/>
        </w:tabs>
        <w:ind w:left="6480" w:hanging="360"/>
      </w:pPr>
      <w:rPr>
        <w:rFonts w:ascii="Wingdings" w:hAnsi="Wingdings"/>
      </w:rPr>
    </w:lvl>
  </w:abstractNum>
  <w:abstractNum w:abstractNumId="59">
    <w:nsid w:val="722304FD"/>
    <w:multiLevelType w:val="hybridMultilevel"/>
    <w:tmpl w:val="722304FD"/>
    <w:lvl w:ilvl="0" w:tplc="35CA0F46">
      <w:start w:val="1"/>
      <w:numFmt w:val="bullet"/>
      <w:lvlText w:val=""/>
      <w:lvlJc w:val="left"/>
      <w:pPr>
        <w:ind w:left="720" w:hanging="360"/>
      </w:pPr>
      <w:rPr>
        <w:rFonts w:ascii="Symbol" w:hAnsi="Symbol"/>
      </w:rPr>
    </w:lvl>
    <w:lvl w:ilvl="1" w:tplc="682E4D58">
      <w:start w:val="1"/>
      <w:numFmt w:val="bullet"/>
      <w:lvlText w:val="o"/>
      <w:lvlJc w:val="left"/>
      <w:pPr>
        <w:tabs>
          <w:tab w:val="num" w:pos="1440"/>
        </w:tabs>
        <w:ind w:left="1440" w:hanging="360"/>
      </w:pPr>
      <w:rPr>
        <w:rFonts w:ascii="Courier New" w:hAnsi="Courier New"/>
      </w:rPr>
    </w:lvl>
    <w:lvl w:ilvl="2" w:tplc="7FE26382">
      <w:start w:val="1"/>
      <w:numFmt w:val="bullet"/>
      <w:lvlText w:val=""/>
      <w:lvlJc w:val="left"/>
      <w:pPr>
        <w:tabs>
          <w:tab w:val="num" w:pos="2160"/>
        </w:tabs>
        <w:ind w:left="2160" w:hanging="360"/>
      </w:pPr>
      <w:rPr>
        <w:rFonts w:ascii="Wingdings" w:hAnsi="Wingdings"/>
      </w:rPr>
    </w:lvl>
    <w:lvl w:ilvl="3" w:tplc="F01E31FA">
      <w:start w:val="1"/>
      <w:numFmt w:val="bullet"/>
      <w:lvlText w:val=""/>
      <w:lvlJc w:val="left"/>
      <w:pPr>
        <w:tabs>
          <w:tab w:val="num" w:pos="2880"/>
        </w:tabs>
        <w:ind w:left="2880" w:hanging="360"/>
      </w:pPr>
      <w:rPr>
        <w:rFonts w:ascii="Symbol" w:hAnsi="Symbol"/>
      </w:rPr>
    </w:lvl>
    <w:lvl w:ilvl="4" w:tplc="C394B588">
      <w:start w:val="1"/>
      <w:numFmt w:val="bullet"/>
      <w:lvlText w:val="o"/>
      <w:lvlJc w:val="left"/>
      <w:pPr>
        <w:tabs>
          <w:tab w:val="num" w:pos="3600"/>
        </w:tabs>
        <w:ind w:left="3600" w:hanging="360"/>
      </w:pPr>
      <w:rPr>
        <w:rFonts w:ascii="Courier New" w:hAnsi="Courier New"/>
      </w:rPr>
    </w:lvl>
    <w:lvl w:ilvl="5" w:tplc="B23AFA0A">
      <w:start w:val="1"/>
      <w:numFmt w:val="bullet"/>
      <w:lvlText w:val=""/>
      <w:lvlJc w:val="left"/>
      <w:pPr>
        <w:tabs>
          <w:tab w:val="num" w:pos="4320"/>
        </w:tabs>
        <w:ind w:left="4320" w:hanging="360"/>
      </w:pPr>
      <w:rPr>
        <w:rFonts w:ascii="Wingdings" w:hAnsi="Wingdings"/>
      </w:rPr>
    </w:lvl>
    <w:lvl w:ilvl="6" w:tplc="0820EEAC">
      <w:start w:val="1"/>
      <w:numFmt w:val="bullet"/>
      <w:lvlText w:val=""/>
      <w:lvlJc w:val="left"/>
      <w:pPr>
        <w:tabs>
          <w:tab w:val="num" w:pos="5040"/>
        </w:tabs>
        <w:ind w:left="5040" w:hanging="360"/>
      </w:pPr>
      <w:rPr>
        <w:rFonts w:ascii="Symbol" w:hAnsi="Symbol"/>
      </w:rPr>
    </w:lvl>
    <w:lvl w:ilvl="7" w:tplc="BEE61A8A">
      <w:start w:val="1"/>
      <w:numFmt w:val="bullet"/>
      <w:lvlText w:val="o"/>
      <w:lvlJc w:val="left"/>
      <w:pPr>
        <w:tabs>
          <w:tab w:val="num" w:pos="5760"/>
        </w:tabs>
        <w:ind w:left="5760" w:hanging="360"/>
      </w:pPr>
      <w:rPr>
        <w:rFonts w:ascii="Courier New" w:hAnsi="Courier New"/>
      </w:rPr>
    </w:lvl>
    <w:lvl w:ilvl="8" w:tplc="750E0C94">
      <w:start w:val="1"/>
      <w:numFmt w:val="bullet"/>
      <w:lvlText w:val=""/>
      <w:lvlJc w:val="left"/>
      <w:pPr>
        <w:tabs>
          <w:tab w:val="num" w:pos="6480"/>
        </w:tabs>
        <w:ind w:left="6480" w:hanging="360"/>
      </w:pPr>
      <w:rPr>
        <w:rFonts w:ascii="Wingdings" w:hAnsi="Wingdings"/>
      </w:rPr>
    </w:lvl>
  </w:abstractNum>
  <w:abstractNum w:abstractNumId="60">
    <w:nsid w:val="722304FE"/>
    <w:multiLevelType w:val="hybridMultilevel"/>
    <w:tmpl w:val="722304FE"/>
    <w:lvl w:ilvl="0" w:tplc="0B1EE0C2">
      <w:start w:val="1"/>
      <w:numFmt w:val="bullet"/>
      <w:lvlText w:val=""/>
      <w:lvlJc w:val="left"/>
      <w:pPr>
        <w:ind w:left="720" w:hanging="360"/>
      </w:pPr>
      <w:rPr>
        <w:rFonts w:ascii="Symbol" w:hAnsi="Symbol"/>
      </w:rPr>
    </w:lvl>
    <w:lvl w:ilvl="1" w:tplc="20D03F7E">
      <w:start w:val="1"/>
      <w:numFmt w:val="bullet"/>
      <w:lvlText w:val="o"/>
      <w:lvlJc w:val="left"/>
      <w:pPr>
        <w:tabs>
          <w:tab w:val="num" w:pos="1440"/>
        </w:tabs>
        <w:ind w:left="1440" w:hanging="360"/>
      </w:pPr>
      <w:rPr>
        <w:rFonts w:ascii="Courier New" w:hAnsi="Courier New"/>
      </w:rPr>
    </w:lvl>
    <w:lvl w:ilvl="2" w:tplc="19E6CD3E">
      <w:start w:val="1"/>
      <w:numFmt w:val="bullet"/>
      <w:lvlText w:val=""/>
      <w:lvlJc w:val="left"/>
      <w:pPr>
        <w:tabs>
          <w:tab w:val="num" w:pos="2160"/>
        </w:tabs>
        <w:ind w:left="2160" w:hanging="360"/>
      </w:pPr>
      <w:rPr>
        <w:rFonts w:ascii="Wingdings" w:hAnsi="Wingdings"/>
      </w:rPr>
    </w:lvl>
    <w:lvl w:ilvl="3" w:tplc="38B4D1EA">
      <w:start w:val="1"/>
      <w:numFmt w:val="bullet"/>
      <w:lvlText w:val=""/>
      <w:lvlJc w:val="left"/>
      <w:pPr>
        <w:tabs>
          <w:tab w:val="num" w:pos="2880"/>
        </w:tabs>
        <w:ind w:left="2880" w:hanging="360"/>
      </w:pPr>
      <w:rPr>
        <w:rFonts w:ascii="Symbol" w:hAnsi="Symbol"/>
      </w:rPr>
    </w:lvl>
    <w:lvl w:ilvl="4" w:tplc="9DC869F4">
      <w:start w:val="1"/>
      <w:numFmt w:val="bullet"/>
      <w:lvlText w:val="o"/>
      <w:lvlJc w:val="left"/>
      <w:pPr>
        <w:tabs>
          <w:tab w:val="num" w:pos="3600"/>
        </w:tabs>
        <w:ind w:left="3600" w:hanging="360"/>
      </w:pPr>
      <w:rPr>
        <w:rFonts w:ascii="Courier New" w:hAnsi="Courier New"/>
      </w:rPr>
    </w:lvl>
    <w:lvl w:ilvl="5" w:tplc="15A22982">
      <w:start w:val="1"/>
      <w:numFmt w:val="bullet"/>
      <w:lvlText w:val=""/>
      <w:lvlJc w:val="left"/>
      <w:pPr>
        <w:tabs>
          <w:tab w:val="num" w:pos="4320"/>
        </w:tabs>
        <w:ind w:left="4320" w:hanging="360"/>
      </w:pPr>
      <w:rPr>
        <w:rFonts w:ascii="Wingdings" w:hAnsi="Wingdings"/>
      </w:rPr>
    </w:lvl>
    <w:lvl w:ilvl="6" w:tplc="A4FAA396">
      <w:start w:val="1"/>
      <w:numFmt w:val="bullet"/>
      <w:lvlText w:val=""/>
      <w:lvlJc w:val="left"/>
      <w:pPr>
        <w:tabs>
          <w:tab w:val="num" w:pos="5040"/>
        </w:tabs>
        <w:ind w:left="5040" w:hanging="360"/>
      </w:pPr>
      <w:rPr>
        <w:rFonts w:ascii="Symbol" w:hAnsi="Symbol"/>
      </w:rPr>
    </w:lvl>
    <w:lvl w:ilvl="7" w:tplc="5CBE5ED6">
      <w:start w:val="1"/>
      <w:numFmt w:val="bullet"/>
      <w:lvlText w:val="o"/>
      <w:lvlJc w:val="left"/>
      <w:pPr>
        <w:tabs>
          <w:tab w:val="num" w:pos="5760"/>
        </w:tabs>
        <w:ind w:left="5760" w:hanging="360"/>
      </w:pPr>
      <w:rPr>
        <w:rFonts w:ascii="Courier New" w:hAnsi="Courier New"/>
      </w:rPr>
    </w:lvl>
    <w:lvl w:ilvl="8" w:tplc="B406D356">
      <w:start w:val="1"/>
      <w:numFmt w:val="bullet"/>
      <w:lvlText w:val=""/>
      <w:lvlJc w:val="left"/>
      <w:pPr>
        <w:tabs>
          <w:tab w:val="num" w:pos="6480"/>
        </w:tabs>
        <w:ind w:left="6480" w:hanging="360"/>
      </w:pPr>
      <w:rPr>
        <w:rFonts w:ascii="Wingdings" w:hAnsi="Wingdings"/>
      </w:rPr>
    </w:lvl>
  </w:abstractNum>
  <w:abstractNum w:abstractNumId="61">
    <w:nsid w:val="722304FF"/>
    <w:multiLevelType w:val="hybridMultilevel"/>
    <w:tmpl w:val="722304FF"/>
    <w:lvl w:ilvl="0" w:tplc="D6A4D81C">
      <w:start w:val="1"/>
      <w:numFmt w:val="bullet"/>
      <w:lvlText w:val=""/>
      <w:lvlJc w:val="left"/>
      <w:pPr>
        <w:ind w:left="720" w:hanging="360"/>
      </w:pPr>
      <w:rPr>
        <w:rFonts w:ascii="Symbol" w:hAnsi="Symbol"/>
      </w:rPr>
    </w:lvl>
    <w:lvl w:ilvl="1" w:tplc="6CCE909C">
      <w:start w:val="1"/>
      <w:numFmt w:val="bullet"/>
      <w:lvlText w:val="o"/>
      <w:lvlJc w:val="left"/>
      <w:pPr>
        <w:tabs>
          <w:tab w:val="num" w:pos="1440"/>
        </w:tabs>
        <w:ind w:left="1440" w:hanging="360"/>
      </w:pPr>
      <w:rPr>
        <w:rFonts w:ascii="Courier New" w:hAnsi="Courier New"/>
      </w:rPr>
    </w:lvl>
    <w:lvl w:ilvl="2" w:tplc="31BA0E02">
      <w:start w:val="1"/>
      <w:numFmt w:val="bullet"/>
      <w:lvlText w:val=""/>
      <w:lvlJc w:val="left"/>
      <w:pPr>
        <w:tabs>
          <w:tab w:val="num" w:pos="2160"/>
        </w:tabs>
        <w:ind w:left="2160" w:hanging="360"/>
      </w:pPr>
      <w:rPr>
        <w:rFonts w:ascii="Wingdings" w:hAnsi="Wingdings"/>
      </w:rPr>
    </w:lvl>
    <w:lvl w:ilvl="3" w:tplc="C416F2FA">
      <w:start w:val="1"/>
      <w:numFmt w:val="bullet"/>
      <w:lvlText w:val=""/>
      <w:lvlJc w:val="left"/>
      <w:pPr>
        <w:tabs>
          <w:tab w:val="num" w:pos="2880"/>
        </w:tabs>
        <w:ind w:left="2880" w:hanging="360"/>
      </w:pPr>
      <w:rPr>
        <w:rFonts w:ascii="Symbol" w:hAnsi="Symbol"/>
      </w:rPr>
    </w:lvl>
    <w:lvl w:ilvl="4" w:tplc="F946AC64">
      <w:start w:val="1"/>
      <w:numFmt w:val="bullet"/>
      <w:lvlText w:val="o"/>
      <w:lvlJc w:val="left"/>
      <w:pPr>
        <w:tabs>
          <w:tab w:val="num" w:pos="3600"/>
        </w:tabs>
        <w:ind w:left="3600" w:hanging="360"/>
      </w:pPr>
      <w:rPr>
        <w:rFonts w:ascii="Courier New" w:hAnsi="Courier New"/>
      </w:rPr>
    </w:lvl>
    <w:lvl w:ilvl="5" w:tplc="E570A4E8">
      <w:start w:val="1"/>
      <w:numFmt w:val="bullet"/>
      <w:lvlText w:val=""/>
      <w:lvlJc w:val="left"/>
      <w:pPr>
        <w:tabs>
          <w:tab w:val="num" w:pos="4320"/>
        </w:tabs>
        <w:ind w:left="4320" w:hanging="360"/>
      </w:pPr>
      <w:rPr>
        <w:rFonts w:ascii="Wingdings" w:hAnsi="Wingdings"/>
      </w:rPr>
    </w:lvl>
    <w:lvl w:ilvl="6" w:tplc="EDE6489A">
      <w:start w:val="1"/>
      <w:numFmt w:val="bullet"/>
      <w:lvlText w:val=""/>
      <w:lvlJc w:val="left"/>
      <w:pPr>
        <w:tabs>
          <w:tab w:val="num" w:pos="5040"/>
        </w:tabs>
        <w:ind w:left="5040" w:hanging="360"/>
      </w:pPr>
      <w:rPr>
        <w:rFonts w:ascii="Symbol" w:hAnsi="Symbol"/>
      </w:rPr>
    </w:lvl>
    <w:lvl w:ilvl="7" w:tplc="CBDE98B4">
      <w:start w:val="1"/>
      <w:numFmt w:val="bullet"/>
      <w:lvlText w:val="o"/>
      <w:lvlJc w:val="left"/>
      <w:pPr>
        <w:tabs>
          <w:tab w:val="num" w:pos="5760"/>
        </w:tabs>
        <w:ind w:left="5760" w:hanging="360"/>
      </w:pPr>
      <w:rPr>
        <w:rFonts w:ascii="Courier New" w:hAnsi="Courier New"/>
      </w:rPr>
    </w:lvl>
    <w:lvl w:ilvl="8" w:tplc="9DDA4B90">
      <w:start w:val="1"/>
      <w:numFmt w:val="bullet"/>
      <w:lvlText w:val=""/>
      <w:lvlJc w:val="left"/>
      <w:pPr>
        <w:tabs>
          <w:tab w:val="num" w:pos="6480"/>
        </w:tabs>
        <w:ind w:left="6480" w:hanging="360"/>
      </w:pPr>
      <w:rPr>
        <w:rFonts w:ascii="Wingdings" w:hAnsi="Wingdings"/>
      </w:rPr>
    </w:lvl>
  </w:abstractNum>
  <w:abstractNum w:abstractNumId="62">
    <w:nsid w:val="72230500"/>
    <w:multiLevelType w:val="hybridMultilevel"/>
    <w:tmpl w:val="72230500"/>
    <w:lvl w:ilvl="0" w:tplc="29B201CE">
      <w:start w:val="1"/>
      <w:numFmt w:val="bullet"/>
      <w:lvlText w:val=""/>
      <w:lvlJc w:val="left"/>
      <w:pPr>
        <w:ind w:left="720" w:hanging="360"/>
      </w:pPr>
      <w:rPr>
        <w:rFonts w:ascii="Symbol" w:hAnsi="Symbol"/>
      </w:rPr>
    </w:lvl>
    <w:lvl w:ilvl="1" w:tplc="85860F16">
      <w:start w:val="1"/>
      <w:numFmt w:val="bullet"/>
      <w:lvlText w:val="o"/>
      <w:lvlJc w:val="left"/>
      <w:pPr>
        <w:tabs>
          <w:tab w:val="num" w:pos="1440"/>
        </w:tabs>
        <w:ind w:left="1440" w:hanging="360"/>
      </w:pPr>
      <w:rPr>
        <w:rFonts w:ascii="Courier New" w:hAnsi="Courier New"/>
      </w:rPr>
    </w:lvl>
    <w:lvl w:ilvl="2" w:tplc="0DEECA32">
      <w:start w:val="1"/>
      <w:numFmt w:val="bullet"/>
      <w:lvlText w:val=""/>
      <w:lvlJc w:val="left"/>
      <w:pPr>
        <w:tabs>
          <w:tab w:val="num" w:pos="2160"/>
        </w:tabs>
        <w:ind w:left="2160" w:hanging="360"/>
      </w:pPr>
      <w:rPr>
        <w:rFonts w:ascii="Wingdings" w:hAnsi="Wingdings"/>
      </w:rPr>
    </w:lvl>
    <w:lvl w:ilvl="3" w:tplc="8F7299E0">
      <w:start w:val="1"/>
      <w:numFmt w:val="bullet"/>
      <w:lvlText w:val=""/>
      <w:lvlJc w:val="left"/>
      <w:pPr>
        <w:tabs>
          <w:tab w:val="num" w:pos="2880"/>
        </w:tabs>
        <w:ind w:left="2880" w:hanging="360"/>
      </w:pPr>
      <w:rPr>
        <w:rFonts w:ascii="Symbol" w:hAnsi="Symbol"/>
      </w:rPr>
    </w:lvl>
    <w:lvl w:ilvl="4" w:tplc="C7708694">
      <w:start w:val="1"/>
      <w:numFmt w:val="bullet"/>
      <w:lvlText w:val="o"/>
      <w:lvlJc w:val="left"/>
      <w:pPr>
        <w:tabs>
          <w:tab w:val="num" w:pos="3600"/>
        </w:tabs>
        <w:ind w:left="3600" w:hanging="360"/>
      </w:pPr>
      <w:rPr>
        <w:rFonts w:ascii="Courier New" w:hAnsi="Courier New"/>
      </w:rPr>
    </w:lvl>
    <w:lvl w:ilvl="5" w:tplc="69961294">
      <w:start w:val="1"/>
      <w:numFmt w:val="bullet"/>
      <w:lvlText w:val=""/>
      <w:lvlJc w:val="left"/>
      <w:pPr>
        <w:tabs>
          <w:tab w:val="num" w:pos="4320"/>
        </w:tabs>
        <w:ind w:left="4320" w:hanging="360"/>
      </w:pPr>
      <w:rPr>
        <w:rFonts w:ascii="Wingdings" w:hAnsi="Wingdings"/>
      </w:rPr>
    </w:lvl>
    <w:lvl w:ilvl="6" w:tplc="3BC68046">
      <w:start w:val="1"/>
      <w:numFmt w:val="bullet"/>
      <w:lvlText w:val=""/>
      <w:lvlJc w:val="left"/>
      <w:pPr>
        <w:tabs>
          <w:tab w:val="num" w:pos="5040"/>
        </w:tabs>
        <w:ind w:left="5040" w:hanging="360"/>
      </w:pPr>
      <w:rPr>
        <w:rFonts w:ascii="Symbol" w:hAnsi="Symbol"/>
      </w:rPr>
    </w:lvl>
    <w:lvl w:ilvl="7" w:tplc="7A7AFA78">
      <w:start w:val="1"/>
      <w:numFmt w:val="bullet"/>
      <w:lvlText w:val="o"/>
      <w:lvlJc w:val="left"/>
      <w:pPr>
        <w:tabs>
          <w:tab w:val="num" w:pos="5760"/>
        </w:tabs>
        <w:ind w:left="5760" w:hanging="360"/>
      </w:pPr>
      <w:rPr>
        <w:rFonts w:ascii="Courier New" w:hAnsi="Courier New"/>
      </w:rPr>
    </w:lvl>
    <w:lvl w:ilvl="8" w:tplc="828A5DBA">
      <w:start w:val="1"/>
      <w:numFmt w:val="bullet"/>
      <w:lvlText w:val=""/>
      <w:lvlJc w:val="left"/>
      <w:pPr>
        <w:tabs>
          <w:tab w:val="num" w:pos="6480"/>
        </w:tabs>
        <w:ind w:left="6480" w:hanging="360"/>
      </w:pPr>
      <w:rPr>
        <w:rFonts w:ascii="Wingdings" w:hAnsi="Wingdings"/>
      </w:rPr>
    </w:lvl>
  </w:abstractNum>
  <w:num w:numId="1">
    <w:abstractNumId w:val="1"/>
  </w:num>
  <w:num w:numId="2">
    <w:abstractNumId w:val="0"/>
  </w:num>
  <w:num w:numId="3">
    <w:abstractNumId w:val="12"/>
  </w:num>
  <w:num w:numId="4">
    <w:abstractNumId w:val="5"/>
  </w:num>
  <w:num w:numId="5">
    <w:abstractNumId w:val="11"/>
  </w:num>
  <w:num w:numId="6">
    <w:abstractNumId w:val="19"/>
  </w:num>
  <w:num w:numId="7">
    <w:abstractNumId w:val="20"/>
  </w:num>
  <w:num w:numId="8">
    <w:abstractNumId w:val="7"/>
  </w:num>
  <w:num w:numId="9">
    <w:abstractNumId w:val="18"/>
  </w:num>
  <w:num w:numId="10">
    <w:abstractNumId w:val="17"/>
  </w:num>
  <w:num w:numId="11">
    <w:abstractNumId w:val="13"/>
  </w:num>
  <w:num w:numId="12">
    <w:abstractNumId w:val="15"/>
  </w:num>
  <w:num w:numId="13">
    <w:abstractNumId w:val="4"/>
  </w:num>
  <w:num w:numId="14">
    <w:abstractNumId w:val="8"/>
  </w:num>
  <w:num w:numId="15">
    <w:abstractNumId w:val="2"/>
  </w:num>
  <w:num w:numId="16">
    <w:abstractNumId w:val="6"/>
  </w:num>
  <w:num w:numId="17">
    <w:abstractNumId w:val="21"/>
  </w:num>
  <w:num w:numId="18">
    <w:abstractNumId w:val="16"/>
  </w:num>
  <w:num w:numId="19">
    <w:abstractNumId w:val="14"/>
  </w:num>
  <w:num w:numId="20">
    <w:abstractNumId w:val="22"/>
  </w:num>
  <w:num w:numId="21">
    <w:abstractNumId w:val="23"/>
  </w:num>
  <w:num w:numId="22">
    <w:abstractNumId w:val="24"/>
  </w:num>
  <w:num w:numId="23">
    <w:abstractNumId w:val="25"/>
  </w:num>
  <w:num w:numId="24">
    <w:abstractNumId w:val="26"/>
  </w:num>
  <w:num w:numId="25">
    <w:abstractNumId w:val="27"/>
  </w:num>
  <w:num w:numId="26">
    <w:abstractNumId w:val="28"/>
  </w:num>
  <w:num w:numId="27">
    <w:abstractNumId w:val="29"/>
  </w:num>
  <w:num w:numId="28">
    <w:abstractNumId w:val="30"/>
  </w:num>
  <w:num w:numId="29">
    <w:abstractNumId w:val="31"/>
  </w:num>
  <w:num w:numId="30">
    <w:abstractNumId w:val="32"/>
  </w:num>
  <w:num w:numId="31">
    <w:abstractNumId w:val="33"/>
  </w:num>
  <w:num w:numId="32">
    <w:abstractNumId w:val="34"/>
  </w:num>
  <w:num w:numId="33">
    <w:abstractNumId w:val="35"/>
  </w:num>
  <w:num w:numId="34">
    <w:abstractNumId w:val="36"/>
  </w:num>
  <w:num w:numId="35">
    <w:abstractNumId w:val="37"/>
  </w:num>
  <w:num w:numId="36">
    <w:abstractNumId w:val="38"/>
  </w:num>
  <w:num w:numId="37">
    <w:abstractNumId w:val="39"/>
  </w:num>
  <w:num w:numId="38">
    <w:abstractNumId w:val="40"/>
  </w:num>
  <w:num w:numId="39">
    <w:abstractNumId w:val="41"/>
  </w:num>
  <w:num w:numId="40">
    <w:abstractNumId w:val="42"/>
  </w:num>
  <w:num w:numId="41">
    <w:abstractNumId w:val="43"/>
  </w:num>
  <w:num w:numId="42">
    <w:abstractNumId w:val="44"/>
  </w:num>
  <w:num w:numId="43">
    <w:abstractNumId w:val="45"/>
  </w:num>
  <w:num w:numId="44">
    <w:abstractNumId w:val="46"/>
  </w:num>
  <w:num w:numId="45">
    <w:abstractNumId w:val="47"/>
  </w:num>
  <w:num w:numId="46">
    <w:abstractNumId w:val="48"/>
  </w:num>
  <w:num w:numId="47">
    <w:abstractNumId w:val="49"/>
  </w:num>
  <w:num w:numId="48">
    <w:abstractNumId w:val="50"/>
  </w:num>
  <w:num w:numId="49">
    <w:abstractNumId w:val="51"/>
  </w:num>
  <w:num w:numId="50">
    <w:abstractNumId w:val="52"/>
  </w:num>
  <w:num w:numId="51">
    <w:abstractNumId w:val="53"/>
  </w:num>
  <w:num w:numId="52">
    <w:abstractNumId w:val="54"/>
  </w:num>
  <w:num w:numId="53">
    <w:abstractNumId w:val="55"/>
  </w:num>
  <w:num w:numId="54">
    <w:abstractNumId w:val="56"/>
  </w:num>
  <w:num w:numId="55">
    <w:abstractNumId w:val="57"/>
  </w:num>
  <w:num w:numId="56">
    <w:abstractNumId w:val="58"/>
  </w:num>
  <w:num w:numId="57">
    <w:abstractNumId w:val="59"/>
  </w:num>
  <w:num w:numId="58">
    <w:abstractNumId w:val="60"/>
  </w:num>
  <w:num w:numId="59">
    <w:abstractNumId w:val="61"/>
  </w:num>
  <w:num w:numId="60">
    <w:abstractNumId w:val="62"/>
  </w:num>
  <w:numIdMacAtCleanup w:val="6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TrueTypeFonts/>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docVars>
    <w:docVar w:name="LW_DocType" w:val="REP"/>
  </w:docVars>
  <w:rsids>
    <w:rsidRoot w:val="00A1205A"/>
    <w:rsid w:val="006F67B9"/>
    <w:rsid w:val="008F1982"/>
    <w:rsid w:val="009E0DC1"/>
    <w:rsid w:val="00A1205A"/>
    <w:rsid w:val="00B36C59"/>
  </w:rsids>
  <m:mathPr>
    <m:mathFont m:val="Cambria Math"/>
    <m:brkBin m:val="before"/>
    <m:brkBinSub m:val="--"/>
    <m:smallFrac m:val="0"/>
    <m:dispDef/>
    <m:lMargin m:val="0"/>
    <m:rMargin m:val="0"/>
    <m:defJc m:val="centerGroup"/>
    <m:wrapRight/>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semiHidden="0" w:uiPriority="0"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0" w:unhideWhenUsed="0" w:qFormat="1"/>
    <w:lsdException w:name="List Bullet" w:uiPriority="0"/>
    <w:lsdException w:name="List Number 4"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BD6D7E"/>
    <w:pPr>
      <w:spacing w:before="120" w:after="120"/>
      <w:jc w:val="both"/>
    </w:pPr>
    <w:rPr>
      <w:sz w:val="24"/>
      <w:lang w:val="en-GB"/>
    </w:rPr>
  </w:style>
  <w:style w:type="paragraph" w:styleId="Heading1">
    <w:name w:val="heading 1"/>
    <w:basedOn w:val="Normal"/>
    <w:next w:val="Normal"/>
    <w:qFormat/>
    <w:rsid w:val="00162E7B"/>
    <w:pPr>
      <w:keepNext/>
      <w:numPr>
        <w:numId w:val="19"/>
      </w:numPr>
      <w:spacing w:before="240" w:after="240"/>
      <w:outlineLvl w:val="0"/>
    </w:pPr>
    <w:rPr>
      <w:b/>
      <w:smallCaps/>
      <w:sz w:val="28"/>
      <w:lang w:val="fr-BE"/>
    </w:rPr>
  </w:style>
  <w:style w:type="paragraph" w:styleId="Heading2">
    <w:name w:val="heading 2"/>
    <w:basedOn w:val="Heading1"/>
    <w:next w:val="Normal"/>
    <w:link w:val="Heading2Char"/>
    <w:autoRedefine/>
    <w:qFormat/>
    <w:rsid w:val="00E272CB"/>
    <w:pPr>
      <w:numPr>
        <w:ilvl w:val="1"/>
      </w:numPr>
      <w:ind w:left="0"/>
      <w:outlineLvl w:val="1"/>
    </w:pPr>
    <w:rPr>
      <w:smallCaps w:val="0"/>
      <w:sz w:val="24"/>
    </w:rPr>
  </w:style>
  <w:style w:type="paragraph" w:styleId="Heading3">
    <w:name w:val="heading 3"/>
    <w:basedOn w:val="Heading2"/>
    <w:next w:val="Normal"/>
    <w:link w:val="Heading3Char"/>
    <w:autoRedefine/>
    <w:qFormat/>
    <w:rsid w:val="00F235A7"/>
    <w:pPr>
      <w:numPr>
        <w:ilvl w:val="2"/>
      </w:numPr>
      <w:outlineLvl w:val="2"/>
    </w:pPr>
    <w:rPr>
      <w:b w:val="0"/>
      <w:color w:val="000000"/>
    </w:rPr>
  </w:style>
  <w:style w:type="paragraph" w:styleId="Heading4">
    <w:name w:val="heading 4"/>
    <w:basedOn w:val="Heading3"/>
    <w:next w:val="Normal"/>
    <w:link w:val="Heading4Char"/>
    <w:qFormat/>
    <w:rsid w:val="00554619"/>
    <w:pPr>
      <w:numPr>
        <w:ilvl w:val="3"/>
      </w:numPr>
      <w:outlineLvl w:val="3"/>
    </w:pPr>
    <w:rPr>
      <w:i/>
    </w:rPr>
  </w:style>
  <w:style w:type="paragraph" w:styleId="Heading5">
    <w:name w:val="heading 5"/>
    <w:basedOn w:val="Heading4"/>
    <w:next w:val="Normal"/>
    <w:qFormat/>
    <w:rsid w:val="001D534D"/>
    <w:pPr>
      <w:numPr>
        <w:ilvl w:val="4"/>
      </w:numPr>
      <w:jc w:val="left"/>
      <w:outlineLvl w:val="4"/>
    </w:pPr>
    <w:rPr>
      <w:rFonts w:ascii="Arial" w:hAnsi="Arial"/>
      <w:b/>
      <w:i w:val="0"/>
      <w:noProof/>
      <w:sz w:val="22"/>
    </w:rPr>
  </w:style>
  <w:style w:type="paragraph" w:styleId="Heading6">
    <w:name w:val="heading 6"/>
    <w:basedOn w:val="Heading5"/>
    <w:next w:val="Normal"/>
    <w:qFormat/>
    <w:rsid w:val="00F235A7"/>
    <w:pPr>
      <w:numPr>
        <w:ilvl w:val="5"/>
      </w:numPr>
      <w:spacing w:after="60"/>
      <w:outlineLvl w:val="5"/>
    </w:pPr>
    <w:rPr>
      <w:b w:val="0"/>
    </w:rPr>
  </w:style>
  <w:style w:type="paragraph" w:styleId="Heading7">
    <w:name w:val="heading 7"/>
    <w:basedOn w:val="Heading6"/>
    <w:next w:val="Normal"/>
    <w:qFormat/>
    <w:rsid w:val="00F235A7"/>
    <w:pPr>
      <w:numPr>
        <w:ilvl w:val="6"/>
      </w:numPr>
      <w:outlineLvl w:val="6"/>
    </w:pPr>
    <w:rPr>
      <w:i/>
    </w:rPr>
  </w:style>
  <w:style w:type="paragraph" w:styleId="Heading8">
    <w:name w:val="heading 8"/>
    <w:basedOn w:val="Heading7"/>
    <w:next w:val="Normal"/>
    <w:qFormat/>
    <w:rsid w:val="001D534D"/>
    <w:pPr>
      <w:numPr>
        <w:ilvl w:val="7"/>
      </w:numPr>
      <w:outlineLvl w:val="7"/>
    </w:pPr>
    <w:rPr>
      <w:rFonts w:ascii="Calibri" w:hAnsi="Calibri"/>
      <w:b/>
      <w:i w:val="0"/>
      <w:sz w:val="24"/>
    </w:rPr>
  </w:style>
  <w:style w:type="paragraph" w:styleId="Heading9">
    <w:name w:val="heading 9"/>
    <w:basedOn w:val="Heading8"/>
    <w:next w:val="Normal"/>
    <w:qFormat/>
    <w:rsid w:val="00F235A7"/>
    <w:pPr>
      <w:numPr>
        <w:ilvl w:val="8"/>
      </w:numPr>
      <w:outlineLvl w:val="8"/>
    </w:pPr>
    <w:rPr>
      <w:b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Text1">
    <w:name w:val="Text 1"/>
    <w:basedOn w:val="Normal"/>
    <w:pPr>
      <w:ind w:left="482"/>
    </w:pPr>
  </w:style>
  <w:style w:type="paragraph" w:customStyle="1" w:styleId="Text2">
    <w:name w:val="Text 2"/>
    <w:basedOn w:val="Normal"/>
    <w:link w:val="Text2Char"/>
    <w:pPr>
      <w:tabs>
        <w:tab w:val="left" w:pos="2302"/>
      </w:tabs>
      <w:ind w:left="1202"/>
    </w:pPr>
  </w:style>
  <w:style w:type="paragraph" w:customStyle="1" w:styleId="Text3">
    <w:name w:val="Text 3"/>
    <w:basedOn w:val="Normal"/>
    <w:pPr>
      <w:tabs>
        <w:tab w:val="left" w:pos="2302"/>
      </w:tabs>
      <w:ind w:left="1202"/>
    </w:pPr>
  </w:style>
  <w:style w:type="paragraph" w:customStyle="1" w:styleId="Text4">
    <w:name w:val="Text 4"/>
    <w:basedOn w:val="Normal"/>
    <w:pPr>
      <w:tabs>
        <w:tab w:val="left" w:pos="2302"/>
      </w:tabs>
      <w:ind w:left="1202"/>
    </w:pPr>
  </w:style>
  <w:style w:type="paragraph" w:customStyle="1" w:styleId="Address">
    <w:name w:val="Address"/>
    <w:basedOn w:val="Normal"/>
    <w:pPr>
      <w:spacing w:after="0"/>
      <w:jc w:val="left"/>
    </w:pPr>
  </w:style>
  <w:style w:type="paragraph" w:customStyle="1" w:styleId="AddressTL">
    <w:name w:val="AddressTL"/>
    <w:basedOn w:val="Normal"/>
    <w:next w:val="Normal"/>
    <w:pPr>
      <w:spacing w:after="720"/>
      <w:jc w:val="left"/>
    </w:pPr>
  </w:style>
  <w:style w:type="paragraph" w:customStyle="1" w:styleId="AddressTR">
    <w:name w:val="AddressTR"/>
    <w:basedOn w:val="Normal"/>
    <w:next w:val="Normal"/>
    <w:pPr>
      <w:spacing w:after="720"/>
      <w:ind w:left="5103"/>
      <w:jc w:val="left"/>
    </w:pPr>
  </w:style>
  <w:style w:type="paragraph" w:styleId="BlockText">
    <w:name w:val="Block Text"/>
    <w:basedOn w:val="Normal"/>
    <w:pPr>
      <w:ind w:left="1440" w:right="1440"/>
    </w:pPr>
  </w:style>
  <w:style w:type="paragraph" w:styleId="BodyText">
    <w:name w:val="Body Text"/>
    <w:basedOn w:val="Normal"/>
  </w:style>
  <w:style w:type="paragraph" w:styleId="BodyText2">
    <w:name w:val="Body Text 2"/>
    <w:basedOn w:val="Normal"/>
    <w:pPr>
      <w:spacing w:line="480" w:lineRule="auto"/>
    </w:pPr>
  </w:style>
  <w:style w:type="paragraph" w:styleId="BodyText3">
    <w:name w:val="Body Text 3"/>
    <w:basedOn w:val="Normal"/>
    <w:rPr>
      <w:sz w:val="16"/>
    </w:rPr>
  </w:style>
  <w:style w:type="paragraph" w:styleId="BodyTextFirstIndent">
    <w:name w:val="Body Text First Indent"/>
    <w:basedOn w:val="BodyText"/>
    <w:pPr>
      <w:ind w:firstLine="210"/>
    </w:pPr>
  </w:style>
  <w:style w:type="paragraph" w:styleId="BodyTextIndent">
    <w:name w:val="Body Text Indent"/>
    <w:basedOn w:val="Normal"/>
    <w:pPr>
      <w:ind w:left="283"/>
    </w:pPr>
  </w:style>
  <w:style w:type="paragraph" w:styleId="BodyTextFirstIndent2">
    <w:name w:val="Body Text First Indent 2"/>
    <w:basedOn w:val="BodyTextIndent"/>
    <w:pPr>
      <w:ind w:firstLine="210"/>
    </w:pPr>
  </w:style>
  <w:style w:type="paragraph" w:styleId="BodyTextIndent2">
    <w:name w:val="Body Text Indent 2"/>
    <w:basedOn w:val="Normal"/>
    <w:pPr>
      <w:spacing w:line="480" w:lineRule="auto"/>
      <w:ind w:left="283"/>
    </w:pPr>
  </w:style>
  <w:style w:type="paragraph" w:styleId="BodyTextIndent3">
    <w:name w:val="Body Text Indent 3"/>
    <w:basedOn w:val="Normal"/>
    <w:pPr>
      <w:ind w:left="283"/>
    </w:pPr>
    <w:rPr>
      <w:sz w:val="16"/>
    </w:rPr>
  </w:style>
  <w:style w:type="paragraph" w:styleId="Caption">
    <w:name w:val="caption"/>
    <w:basedOn w:val="Normal"/>
    <w:next w:val="Normal"/>
    <w:qFormat/>
    <w:rPr>
      <w:b/>
    </w:rPr>
  </w:style>
  <w:style w:type="paragraph" w:customStyle="1" w:styleId="ChapterTitle">
    <w:name w:val="ChapterTitle"/>
    <w:basedOn w:val="Normal"/>
    <w:next w:val="SectionTitle"/>
    <w:pPr>
      <w:keepNext/>
      <w:spacing w:after="480"/>
      <w:jc w:val="center"/>
    </w:pPr>
    <w:rPr>
      <w:b/>
      <w:sz w:val="32"/>
    </w:rPr>
  </w:style>
  <w:style w:type="paragraph" w:customStyle="1" w:styleId="SectionTitle">
    <w:name w:val="SectionTitle"/>
    <w:basedOn w:val="Normal"/>
    <w:next w:val="Heading1"/>
    <w:pPr>
      <w:keepNext/>
      <w:spacing w:after="480"/>
      <w:jc w:val="center"/>
    </w:pPr>
    <w:rPr>
      <w:b/>
      <w:smallCaps/>
      <w:sz w:val="28"/>
    </w:rPr>
  </w:style>
  <w:style w:type="paragraph" w:styleId="Closing">
    <w:name w:val="Closing"/>
    <w:basedOn w:val="Normal"/>
    <w:pPr>
      <w:ind w:left="4252"/>
    </w:pPr>
  </w:style>
  <w:style w:type="paragraph" w:styleId="CommentText">
    <w:name w:val="annotation text"/>
    <w:basedOn w:val="Normal"/>
    <w:semiHidden/>
    <w:rPr>
      <w:sz w:val="20"/>
    </w:rPr>
  </w:style>
  <w:style w:type="paragraph" w:styleId="Date">
    <w:name w:val="Date"/>
    <w:basedOn w:val="Normal"/>
    <w:next w:val="References"/>
    <w:pPr>
      <w:spacing w:after="0"/>
      <w:ind w:left="5103" w:right="-567"/>
      <w:jc w:val="left"/>
    </w:pPr>
  </w:style>
  <w:style w:type="paragraph" w:customStyle="1" w:styleId="References">
    <w:name w:val="References"/>
    <w:basedOn w:val="Normal"/>
    <w:next w:val="AddressTR"/>
    <w:uiPriority w:val="99"/>
    <w:pPr>
      <w:ind w:left="5103"/>
      <w:jc w:val="left"/>
    </w:pPr>
    <w:rPr>
      <w:sz w:val="20"/>
    </w:rPr>
  </w:style>
  <w:style w:type="paragraph" w:styleId="DocumentMap">
    <w:name w:val="Document Map"/>
    <w:basedOn w:val="Normal"/>
    <w:semiHidden/>
    <w:pPr>
      <w:shd w:val="clear" w:color="auto" w:fill="000080"/>
    </w:pPr>
    <w:rPr>
      <w:rFonts w:ascii="Tahoma" w:hAnsi="Tahoma"/>
    </w:rPr>
  </w:style>
  <w:style w:type="paragraph" w:customStyle="1" w:styleId="DoubSign">
    <w:name w:val="DoubSign"/>
    <w:basedOn w:val="Normal"/>
    <w:next w:val="Enclosures"/>
    <w:pPr>
      <w:tabs>
        <w:tab w:val="left" w:pos="5103"/>
      </w:tabs>
      <w:spacing w:before="1200" w:after="0"/>
      <w:jc w:val="left"/>
    </w:pPr>
  </w:style>
  <w:style w:type="paragraph" w:customStyle="1" w:styleId="Enclosures">
    <w:name w:val="Enclosures"/>
    <w:basedOn w:val="Normal"/>
    <w:pPr>
      <w:keepNext/>
      <w:keepLines/>
      <w:tabs>
        <w:tab w:val="left" w:pos="5642"/>
      </w:tabs>
      <w:spacing w:before="480" w:after="0"/>
      <w:ind w:left="1191" w:hanging="1191"/>
      <w:jc w:val="left"/>
    </w:pPr>
  </w:style>
  <w:style w:type="paragraph" w:styleId="EndnoteText">
    <w:name w:val="endnote text"/>
    <w:basedOn w:val="Normal"/>
    <w:semiHidden/>
    <w:rPr>
      <w:sz w:val="20"/>
    </w:rPr>
  </w:style>
  <w:style w:type="paragraph" w:styleId="EnvelopeAddress">
    <w:name w:val="envelope address"/>
    <w:basedOn w:val="Normal"/>
    <w:pPr>
      <w:framePr w:w="7920" w:h="1980" w:hRule="exact" w:hSpace="180" w:wrap="auto" w:hAnchor="page" w:xAlign="center" w:yAlign="bottom"/>
      <w:spacing w:after="0"/>
    </w:pPr>
  </w:style>
  <w:style w:type="paragraph" w:styleId="EnvelopeReturn">
    <w:name w:val="envelope return"/>
    <w:basedOn w:val="Normal"/>
    <w:pPr>
      <w:spacing w:after="0"/>
    </w:pPr>
    <w:rPr>
      <w:sz w:val="20"/>
    </w:rPr>
  </w:style>
  <w:style w:type="paragraph" w:styleId="Footer">
    <w:name w:val="footer"/>
    <w:basedOn w:val="Normal"/>
    <w:link w:val="FooterChar"/>
    <w:uiPriority w:val="99"/>
    <w:pPr>
      <w:spacing w:after="0"/>
      <w:ind w:right="-567"/>
      <w:jc w:val="left"/>
    </w:pPr>
    <w:rPr>
      <w:rFonts w:ascii="Arial" w:hAnsi="Arial"/>
      <w:sz w:val="16"/>
    </w:rPr>
  </w:style>
  <w:style w:type="paragraph" w:styleId="FootnoteText">
    <w:name w:val="footnote text"/>
    <w:basedOn w:val="Normal"/>
    <w:semiHidden/>
    <w:pPr>
      <w:ind w:left="357" w:hanging="357"/>
    </w:pPr>
    <w:rPr>
      <w:sz w:val="20"/>
    </w:rPr>
  </w:style>
  <w:style w:type="paragraph" w:styleId="Header">
    <w:name w:val="header"/>
    <w:basedOn w:val="Normal"/>
    <w:link w:val="HeaderChar"/>
    <w:uiPriority w:val="99"/>
    <w:pPr>
      <w:tabs>
        <w:tab w:val="center" w:pos="4153"/>
        <w:tab w:val="right" w:pos="8306"/>
      </w:tabs>
    </w:pPr>
  </w:style>
  <w:style w:type="paragraph" w:styleId="Index1">
    <w:name w:val="index 1"/>
    <w:basedOn w:val="Normal"/>
    <w:next w:val="Normal"/>
    <w:autoRedefine/>
    <w:semiHidden/>
    <w:pPr>
      <w:ind w:left="240" w:hanging="240"/>
    </w:pPr>
  </w:style>
  <w:style w:type="paragraph" w:styleId="Index2">
    <w:name w:val="index 2"/>
    <w:basedOn w:val="Normal"/>
    <w:next w:val="Normal"/>
    <w:autoRedefine/>
    <w:semiHidden/>
    <w:pPr>
      <w:ind w:left="480" w:hanging="240"/>
    </w:pPr>
  </w:style>
  <w:style w:type="paragraph" w:styleId="Index3">
    <w:name w:val="index 3"/>
    <w:basedOn w:val="Normal"/>
    <w:next w:val="Normal"/>
    <w:autoRedefine/>
    <w:semiHidden/>
    <w:pPr>
      <w:ind w:left="720" w:hanging="240"/>
    </w:pPr>
  </w:style>
  <w:style w:type="paragraph" w:styleId="Index4">
    <w:name w:val="index 4"/>
    <w:basedOn w:val="Normal"/>
    <w:next w:val="Normal"/>
    <w:autoRedefine/>
    <w:semiHidden/>
    <w:pPr>
      <w:ind w:left="960" w:hanging="240"/>
    </w:pPr>
  </w:style>
  <w:style w:type="paragraph" w:styleId="Index5">
    <w:name w:val="index 5"/>
    <w:basedOn w:val="Normal"/>
    <w:next w:val="Normal"/>
    <w:autoRedefine/>
    <w:semiHidden/>
    <w:pPr>
      <w:ind w:left="1200" w:hanging="240"/>
    </w:pPr>
  </w:style>
  <w:style w:type="paragraph" w:styleId="Index6">
    <w:name w:val="index 6"/>
    <w:basedOn w:val="Normal"/>
    <w:next w:val="Normal"/>
    <w:autoRedefine/>
    <w:semiHidden/>
    <w:pPr>
      <w:ind w:left="1440" w:hanging="240"/>
    </w:pPr>
  </w:style>
  <w:style w:type="paragraph" w:styleId="Index7">
    <w:name w:val="index 7"/>
    <w:basedOn w:val="Normal"/>
    <w:next w:val="Normal"/>
    <w:autoRedefine/>
    <w:semiHidden/>
    <w:pPr>
      <w:ind w:left="1680" w:hanging="240"/>
    </w:pPr>
  </w:style>
  <w:style w:type="paragraph" w:styleId="Index8">
    <w:name w:val="index 8"/>
    <w:basedOn w:val="Normal"/>
    <w:next w:val="Normal"/>
    <w:autoRedefine/>
    <w:semiHidden/>
    <w:rsid w:val="004A6135"/>
  </w:style>
  <w:style w:type="paragraph" w:styleId="Index9">
    <w:name w:val="index 9"/>
    <w:basedOn w:val="Normal"/>
    <w:next w:val="Normal"/>
    <w:autoRedefine/>
    <w:semiHidden/>
    <w:pPr>
      <w:ind w:left="2160" w:hanging="240"/>
    </w:pPr>
  </w:style>
  <w:style w:type="paragraph" w:styleId="IndexHeading">
    <w:name w:val="index heading"/>
    <w:basedOn w:val="Normal"/>
    <w:next w:val="Index1"/>
    <w:semiHidden/>
    <w:rPr>
      <w:rFonts w:ascii="Arial" w:hAnsi="Arial"/>
      <w:b/>
    </w:rPr>
  </w:style>
  <w:style w:type="paragraph" w:styleId="List">
    <w:name w:val="List"/>
    <w:basedOn w:val="Normal"/>
    <w:pPr>
      <w:ind w:left="283" w:hanging="283"/>
    </w:pPr>
  </w:style>
  <w:style w:type="paragraph" w:styleId="List2">
    <w:name w:val="List 2"/>
    <w:basedOn w:val="Normal"/>
    <w:pPr>
      <w:ind w:left="566" w:hanging="283"/>
    </w:pPr>
  </w:style>
  <w:style w:type="paragraph" w:styleId="List3">
    <w:name w:val="List 3"/>
    <w:basedOn w:val="Normal"/>
    <w:pPr>
      <w:ind w:left="849" w:hanging="283"/>
    </w:pPr>
  </w:style>
  <w:style w:type="paragraph" w:styleId="List4">
    <w:name w:val="List 4"/>
    <w:basedOn w:val="Normal"/>
    <w:pPr>
      <w:ind w:left="1132" w:hanging="283"/>
    </w:pPr>
  </w:style>
  <w:style w:type="paragraph" w:styleId="List5">
    <w:name w:val="List 5"/>
    <w:basedOn w:val="Normal"/>
    <w:pPr>
      <w:ind w:left="1415" w:hanging="283"/>
    </w:pPr>
  </w:style>
  <w:style w:type="paragraph" w:styleId="ListBullet">
    <w:name w:val="List Bullet"/>
    <w:basedOn w:val="Normal"/>
    <w:pPr>
      <w:numPr>
        <w:numId w:val="3"/>
      </w:numPr>
    </w:pPr>
  </w:style>
  <w:style w:type="paragraph" w:styleId="ListBullet2">
    <w:name w:val="List Bullet 2"/>
    <w:basedOn w:val="Text2"/>
    <w:pPr>
      <w:numPr>
        <w:numId w:val="5"/>
      </w:numPr>
      <w:tabs>
        <w:tab w:val="clear" w:pos="2302"/>
      </w:tabs>
    </w:pPr>
  </w:style>
  <w:style w:type="paragraph" w:styleId="ListBullet3">
    <w:name w:val="List Bullet 3"/>
    <w:basedOn w:val="Text3"/>
    <w:pPr>
      <w:numPr>
        <w:numId w:val="6"/>
      </w:numPr>
      <w:tabs>
        <w:tab w:val="clear" w:pos="2302"/>
      </w:tabs>
    </w:pPr>
  </w:style>
  <w:style w:type="paragraph" w:styleId="ListBullet4">
    <w:name w:val="List Bullet 4"/>
    <w:basedOn w:val="Text4"/>
    <w:pPr>
      <w:numPr>
        <w:numId w:val="7"/>
      </w:numPr>
      <w:tabs>
        <w:tab w:val="clear" w:pos="2302"/>
      </w:tabs>
    </w:pPr>
  </w:style>
  <w:style w:type="paragraph" w:styleId="ListBullet5">
    <w:name w:val="List Bullet 5"/>
    <w:basedOn w:val="Normal"/>
    <w:autoRedefine/>
    <w:pPr>
      <w:numPr>
        <w:numId w:val="1"/>
      </w:numPr>
    </w:pPr>
  </w:style>
  <w:style w:type="paragraph" w:styleId="ListContinue">
    <w:name w:val="List Continue"/>
    <w:basedOn w:val="Normal"/>
    <w:pPr>
      <w:ind w:left="283"/>
    </w:pPr>
  </w:style>
  <w:style w:type="paragraph" w:styleId="ListContinue2">
    <w:name w:val="List Continue 2"/>
    <w:basedOn w:val="Normal"/>
    <w:pPr>
      <w:ind w:left="566"/>
    </w:pPr>
  </w:style>
  <w:style w:type="paragraph" w:styleId="ListContinue3">
    <w:name w:val="List Continue 3"/>
    <w:basedOn w:val="Normal"/>
    <w:pPr>
      <w:ind w:left="849"/>
    </w:pPr>
  </w:style>
  <w:style w:type="paragraph" w:styleId="ListContinue4">
    <w:name w:val="List Continue 4"/>
    <w:basedOn w:val="Normal"/>
    <w:pPr>
      <w:ind w:left="1132"/>
    </w:pPr>
  </w:style>
  <w:style w:type="paragraph" w:styleId="ListContinue5">
    <w:name w:val="List Continue 5"/>
    <w:basedOn w:val="Normal"/>
    <w:pPr>
      <w:ind w:left="1415"/>
    </w:pPr>
  </w:style>
  <w:style w:type="paragraph" w:styleId="ListNumber">
    <w:name w:val="List Number"/>
    <w:basedOn w:val="Normal"/>
    <w:pPr>
      <w:numPr>
        <w:numId w:val="13"/>
      </w:numPr>
    </w:pPr>
  </w:style>
  <w:style w:type="paragraph" w:styleId="ListNumber2">
    <w:name w:val="List Number 2"/>
    <w:basedOn w:val="Text2"/>
    <w:pPr>
      <w:numPr>
        <w:numId w:val="15"/>
      </w:numPr>
      <w:tabs>
        <w:tab w:val="clear" w:pos="2302"/>
      </w:tabs>
    </w:pPr>
  </w:style>
  <w:style w:type="paragraph" w:styleId="ListNumber3">
    <w:name w:val="List Number 3"/>
    <w:basedOn w:val="Text3"/>
    <w:pPr>
      <w:numPr>
        <w:numId w:val="16"/>
      </w:numPr>
      <w:tabs>
        <w:tab w:val="clear" w:pos="2302"/>
      </w:tabs>
    </w:pPr>
  </w:style>
  <w:style w:type="paragraph" w:styleId="ListNumber4">
    <w:name w:val="List Number 4"/>
    <w:basedOn w:val="Text4"/>
    <w:pPr>
      <w:numPr>
        <w:numId w:val="17"/>
      </w:numPr>
      <w:tabs>
        <w:tab w:val="clear" w:pos="2302"/>
      </w:tabs>
    </w:pPr>
  </w:style>
  <w:style w:type="paragraph" w:styleId="ListNumber5">
    <w:name w:val="List Number 5"/>
    <w:basedOn w:val="Normal"/>
    <w:pPr>
      <w:numPr>
        <w:numId w:val="2"/>
      </w:numPr>
    </w:pPr>
  </w:style>
  <w:style w:type="paragraph" w:styleId="MacroText">
    <w:name w:val="macro"/>
    <w:semiHidden/>
    <w:pPr>
      <w:tabs>
        <w:tab w:val="left" w:pos="480"/>
        <w:tab w:val="left" w:pos="960"/>
        <w:tab w:val="left" w:pos="1440"/>
        <w:tab w:val="left" w:pos="1920"/>
        <w:tab w:val="left" w:pos="2400"/>
        <w:tab w:val="left" w:pos="2880"/>
        <w:tab w:val="left" w:pos="3360"/>
        <w:tab w:val="left" w:pos="3840"/>
        <w:tab w:val="left" w:pos="4320"/>
      </w:tabs>
      <w:spacing w:after="240"/>
      <w:jc w:val="both"/>
    </w:pPr>
    <w:rPr>
      <w:rFonts w:ascii="Courier New" w:hAnsi="Courier New"/>
      <w:lang w:val="en-GB"/>
    </w:rPr>
  </w:style>
  <w:style w:type="paragraph" w:styleId="MessageHeader">
    <w:name w:val="Message Header"/>
    <w:basedOn w:val="Normal"/>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rPr>
  </w:style>
  <w:style w:type="paragraph" w:styleId="NormalIndent">
    <w:name w:val="Normal Indent"/>
    <w:basedOn w:val="Normal"/>
    <w:pPr>
      <w:ind w:left="720"/>
    </w:pPr>
  </w:style>
  <w:style w:type="paragraph" w:styleId="NoteHeading">
    <w:name w:val="Note Heading"/>
    <w:basedOn w:val="Normal"/>
    <w:next w:val="Normal"/>
  </w:style>
  <w:style w:type="paragraph" w:customStyle="1" w:styleId="NoteHead">
    <w:name w:val="NoteHead"/>
    <w:basedOn w:val="Normal"/>
    <w:next w:val="Subject"/>
    <w:pPr>
      <w:spacing w:before="720" w:after="720"/>
      <w:jc w:val="center"/>
    </w:pPr>
    <w:rPr>
      <w:b/>
      <w:smallCaps/>
    </w:rPr>
  </w:style>
  <w:style w:type="paragraph" w:customStyle="1" w:styleId="Subject">
    <w:name w:val="Subject"/>
    <w:basedOn w:val="Normal"/>
    <w:next w:val="Normal"/>
    <w:pPr>
      <w:spacing w:after="480"/>
      <w:ind w:left="1531" w:hanging="1531"/>
      <w:jc w:val="left"/>
    </w:pPr>
    <w:rPr>
      <w:b/>
    </w:rPr>
  </w:style>
  <w:style w:type="paragraph" w:customStyle="1" w:styleId="NoteList">
    <w:name w:val="NoteList"/>
    <w:basedOn w:val="Normal"/>
    <w:next w:val="Subject"/>
    <w:pPr>
      <w:tabs>
        <w:tab w:val="left" w:pos="5823"/>
      </w:tabs>
      <w:spacing w:before="720" w:after="720"/>
      <w:ind w:left="5104" w:hanging="3119"/>
      <w:jc w:val="left"/>
    </w:pPr>
    <w:rPr>
      <w:b/>
      <w:smallCaps/>
    </w:rPr>
  </w:style>
  <w:style w:type="paragraph" w:customStyle="1" w:styleId="NumPar1">
    <w:name w:val="NumPar 1"/>
    <w:basedOn w:val="Heading1"/>
    <w:next w:val="Text1"/>
    <w:pPr>
      <w:keepNext w:val="0"/>
      <w:spacing w:before="0"/>
      <w:outlineLvl w:val="9"/>
    </w:pPr>
    <w:rPr>
      <w:b w:val="0"/>
      <w:smallCaps w:val="0"/>
    </w:rPr>
  </w:style>
  <w:style w:type="paragraph" w:customStyle="1" w:styleId="NumPar2">
    <w:name w:val="NumPar 2"/>
    <w:basedOn w:val="Heading2"/>
    <w:next w:val="Text2"/>
    <w:pPr>
      <w:keepNext w:val="0"/>
      <w:outlineLvl w:val="9"/>
    </w:pPr>
    <w:rPr>
      <w:b w:val="0"/>
    </w:rPr>
  </w:style>
  <w:style w:type="paragraph" w:customStyle="1" w:styleId="NumPar3">
    <w:name w:val="NumPar 3"/>
    <w:basedOn w:val="Heading3"/>
    <w:next w:val="Text3"/>
    <w:pPr>
      <w:keepNext w:val="0"/>
      <w:outlineLvl w:val="9"/>
    </w:pPr>
    <w:rPr>
      <w:i/>
    </w:rPr>
  </w:style>
  <w:style w:type="paragraph" w:customStyle="1" w:styleId="NumPar4">
    <w:name w:val="NumPar 4"/>
    <w:basedOn w:val="Heading4"/>
    <w:next w:val="Text4"/>
    <w:pPr>
      <w:keepNext w:val="0"/>
      <w:outlineLvl w:val="9"/>
    </w:pPr>
  </w:style>
  <w:style w:type="paragraph" w:customStyle="1" w:styleId="PartTitle">
    <w:name w:val="PartTitle"/>
    <w:basedOn w:val="Normal"/>
    <w:next w:val="ChapterTitle"/>
    <w:pPr>
      <w:keepNext/>
      <w:pageBreakBefore/>
      <w:spacing w:after="480"/>
      <w:jc w:val="center"/>
    </w:pPr>
    <w:rPr>
      <w:b/>
      <w:sz w:val="36"/>
    </w:rPr>
  </w:style>
  <w:style w:type="paragraph" w:styleId="PlainText">
    <w:name w:val="Plain Text"/>
    <w:basedOn w:val="Normal"/>
    <w:rPr>
      <w:rFonts w:ascii="Courier New" w:hAnsi="Courier New"/>
      <w:sz w:val="20"/>
    </w:rPr>
  </w:style>
  <w:style w:type="paragraph" w:styleId="Salutation">
    <w:name w:val="Salutation"/>
    <w:basedOn w:val="Normal"/>
    <w:next w:val="Normal"/>
  </w:style>
  <w:style w:type="paragraph" w:styleId="Signature">
    <w:name w:val="Signature"/>
    <w:basedOn w:val="Normal"/>
    <w:next w:val="Enclosures"/>
    <w:pPr>
      <w:tabs>
        <w:tab w:val="left" w:pos="5103"/>
      </w:tabs>
      <w:spacing w:before="1200" w:after="0"/>
      <w:ind w:left="5103"/>
      <w:jc w:val="center"/>
    </w:pPr>
  </w:style>
  <w:style w:type="paragraph" w:styleId="Subtitle">
    <w:name w:val="Subtitle"/>
    <w:basedOn w:val="Normal"/>
    <w:qFormat/>
    <w:pPr>
      <w:spacing w:after="60"/>
      <w:jc w:val="center"/>
      <w:outlineLvl w:val="1"/>
    </w:pPr>
    <w:rPr>
      <w:rFonts w:ascii="Arial" w:hAnsi="Arial"/>
    </w:rPr>
  </w:style>
  <w:style w:type="paragraph" w:customStyle="1" w:styleId="SubTitle1">
    <w:name w:val="SubTitle 1"/>
    <w:basedOn w:val="Normal"/>
    <w:next w:val="SubTitle2"/>
    <w:pPr>
      <w:jc w:val="center"/>
    </w:pPr>
    <w:rPr>
      <w:b/>
      <w:sz w:val="40"/>
    </w:rPr>
  </w:style>
  <w:style w:type="paragraph" w:customStyle="1" w:styleId="SubTitle2">
    <w:name w:val="SubTitle 2"/>
    <w:basedOn w:val="Normal"/>
    <w:pPr>
      <w:jc w:val="center"/>
    </w:pPr>
    <w:rPr>
      <w:b/>
      <w:sz w:val="32"/>
    </w:rPr>
  </w:style>
  <w:style w:type="paragraph" w:styleId="TableofAuthorities">
    <w:name w:val="table of authorities"/>
    <w:basedOn w:val="Normal"/>
    <w:next w:val="Normal"/>
    <w:semiHidden/>
    <w:pPr>
      <w:ind w:left="240" w:hanging="240"/>
    </w:pPr>
  </w:style>
  <w:style w:type="paragraph" w:styleId="TableofFigures">
    <w:name w:val="table of figures"/>
    <w:basedOn w:val="Normal"/>
    <w:next w:val="Normal"/>
    <w:uiPriority w:val="99"/>
    <w:pPr>
      <w:ind w:left="480" w:hanging="480"/>
    </w:pPr>
  </w:style>
  <w:style w:type="paragraph" w:styleId="Title">
    <w:name w:val="Title"/>
    <w:basedOn w:val="Normal"/>
    <w:next w:val="SubTitle1"/>
    <w:link w:val="TitleChar"/>
    <w:qFormat/>
    <w:pPr>
      <w:spacing w:after="480"/>
      <w:jc w:val="center"/>
    </w:pPr>
    <w:rPr>
      <w:b/>
      <w:kern w:val="28"/>
      <w:sz w:val="48"/>
    </w:rPr>
  </w:style>
  <w:style w:type="paragraph" w:styleId="TOAHeading">
    <w:name w:val="toa heading"/>
    <w:basedOn w:val="Normal"/>
    <w:next w:val="Normal"/>
    <w:semiHidden/>
    <w:rPr>
      <w:rFonts w:ascii="Arial" w:hAnsi="Arial"/>
      <w:b/>
    </w:rPr>
  </w:style>
  <w:style w:type="paragraph" w:styleId="TOC1">
    <w:name w:val="toc 1"/>
    <w:basedOn w:val="Normal"/>
    <w:next w:val="Normal"/>
    <w:uiPriority w:val="39"/>
    <w:qFormat/>
    <w:rsid w:val="00062C4F"/>
    <w:pPr>
      <w:tabs>
        <w:tab w:val="right" w:leader="dot" w:pos="10206"/>
      </w:tabs>
      <w:ind w:left="482" w:right="720" w:hanging="482"/>
    </w:pPr>
    <w:rPr>
      <w:caps/>
    </w:rPr>
  </w:style>
  <w:style w:type="paragraph" w:styleId="TOC2">
    <w:name w:val="toc 2"/>
    <w:basedOn w:val="Normal"/>
    <w:next w:val="Normal"/>
    <w:uiPriority w:val="39"/>
    <w:qFormat/>
    <w:rsid w:val="00681D22"/>
    <w:pPr>
      <w:tabs>
        <w:tab w:val="right" w:leader="dot" w:pos="10206"/>
      </w:tabs>
      <w:spacing w:before="60" w:after="60"/>
      <w:ind w:left="595" w:right="720" w:hanging="595"/>
    </w:pPr>
  </w:style>
  <w:style w:type="paragraph" w:styleId="TOC3">
    <w:name w:val="toc 3"/>
    <w:basedOn w:val="Normal"/>
    <w:next w:val="Normal"/>
    <w:uiPriority w:val="39"/>
    <w:qFormat/>
    <w:rsid w:val="00681D22"/>
    <w:pPr>
      <w:tabs>
        <w:tab w:val="right" w:leader="dot" w:pos="10206"/>
      </w:tabs>
      <w:spacing w:before="60" w:after="60"/>
      <w:ind w:left="839" w:right="720" w:hanging="839"/>
    </w:pPr>
  </w:style>
  <w:style w:type="paragraph" w:styleId="TOC4">
    <w:name w:val="toc 4"/>
    <w:basedOn w:val="Normal"/>
    <w:next w:val="Normal"/>
    <w:uiPriority w:val="39"/>
    <w:pPr>
      <w:tabs>
        <w:tab w:val="right" w:leader="dot" w:pos="8641"/>
      </w:tabs>
      <w:spacing w:before="60" w:after="60"/>
      <w:ind w:left="2880" w:right="720" w:hanging="964"/>
    </w:pPr>
  </w:style>
  <w:style w:type="paragraph" w:styleId="TOC5">
    <w:name w:val="toc 5"/>
    <w:basedOn w:val="Normal"/>
    <w:next w:val="Normal"/>
    <w:uiPriority w:val="39"/>
    <w:pPr>
      <w:tabs>
        <w:tab w:val="right" w:leader="dot" w:pos="8641"/>
      </w:tabs>
      <w:spacing w:before="240"/>
      <w:ind w:right="720"/>
    </w:pPr>
    <w:rPr>
      <w:caps/>
    </w:rPr>
  </w:style>
  <w:style w:type="paragraph" w:styleId="TOC6">
    <w:name w:val="toc 6"/>
    <w:basedOn w:val="Normal"/>
    <w:next w:val="Normal"/>
    <w:autoRedefine/>
    <w:uiPriority w:val="39"/>
    <w:pPr>
      <w:ind w:left="1200"/>
    </w:pPr>
  </w:style>
  <w:style w:type="paragraph" w:styleId="TOC7">
    <w:name w:val="toc 7"/>
    <w:basedOn w:val="Normal"/>
    <w:next w:val="Normal"/>
    <w:autoRedefine/>
    <w:uiPriority w:val="39"/>
    <w:pPr>
      <w:ind w:left="1440"/>
    </w:pPr>
  </w:style>
  <w:style w:type="paragraph" w:styleId="TOC8">
    <w:name w:val="toc 8"/>
    <w:basedOn w:val="Normal"/>
    <w:next w:val="Normal"/>
    <w:autoRedefine/>
    <w:uiPriority w:val="39"/>
    <w:pPr>
      <w:ind w:left="1680"/>
    </w:pPr>
  </w:style>
  <w:style w:type="paragraph" w:styleId="TOC9">
    <w:name w:val="toc 9"/>
    <w:basedOn w:val="Normal"/>
    <w:next w:val="Normal"/>
    <w:autoRedefine/>
    <w:uiPriority w:val="39"/>
    <w:pPr>
      <w:ind w:left="1920"/>
    </w:pPr>
  </w:style>
  <w:style w:type="paragraph" w:customStyle="1" w:styleId="YReferences">
    <w:name w:val="YReferences"/>
    <w:basedOn w:val="Normal"/>
    <w:next w:val="Normal"/>
    <w:pPr>
      <w:spacing w:after="480"/>
      <w:ind w:left="1531" w:hanging="1531"/>
    </w:pPr>
  </w:style>
  <w:style w:type="paragraph" w:customStyle="1" w:styleId="ListBullet1">
    <w:name w:val="List Bullet 1"/>
    <w:basedOn w:val="Text1"/>
    <w:pPr>
      <w:numPr>
        <w:numId w:val="4"/>
      </w:numPr>
    </w:pPr>
  </w:style>
  <w:style w:type="paragraph" w:customStyle="1" w:styleId="ListDash">
    <w:name w:val="List Dash"/>
    <w:basedOn w:val="Normal"/>
    <w:pPr>
      <w:numPr>
        <w:numId w:val="8"/>
      </w:numPr>
    </w:pPr>
  </w:style>
  <w:style w:type="paragraph" w:customStyle="1" w:styleId="ListDash1">
    <w:name w:val="List Dash 1"/>
    <w:basedOn w:val="Text1"/>
    <w:pPr>
      <w:numPr>
        <w:numId w:val="9"/>
      </w:numPr>
    </w:pPr>
  </w:style>
  <w:style w:type="paragraph" w:customStyle="1" w:styleId="ListDash2">
    <w:name w:val="List Dash 2"/>
    <w:basedOn w:val="Text2"/>
    <w:pPr>
      <w:numPr>
        <w:numId w:val="10"/>
      </w:numPr>
      <w:tabs>
        <w:tab w:val="clear" w:pos="2302"/>
      </w:tabs>
    </w:pPr>
  </w:style>
  <w:style w:type="paragraph" w:customStyle="1" w:styleId="ListDash3">
    <w:name w:val="List Dash 3"/>
    <w:basedOn w:val="Text3"/>
    <w:pPr>
      <w:numPr>
        <w:numId w:val="11"/>
      </w:numPr>
      <w:tabs>
        <w:tab w:val="clear" w:pos="2302"/>
      </w:tabs>
    </w:pPr>
  </w:style>
  <w:style w:type="paragraph" w:customStyle="1" w:styleId="ListDash4">
    <w:name w:val="List Dash 4"/>
    <w:basedOn w:val="Text4"/>
    <w:pPr>
      <w:numPr>
        <w:numId w:val="12"/>
      </w:numPr>
      <w:tabs>
        <w:tab w:val="clear" w:pos="2302"/>
      </w:tabs>
    </w:pPr>
  </w:style>
  <w:style w:type="paragraph" w:customStyle="1" w:styleId="ListNumberLevel2">
    <w:name w:val="List Number (Level 2)"/>
    <w:basedOn w:val="Normal"/>
    <w:pPr>
      <w:numPr>
        <w:ilvl w:val="1"/>
        <w:numId w:val="13"/>
      </w:numPr>
    </w:pPr>
  </w:style>
  <w:style w:type="paragraph" w:customStyle="1" w:styleId="ListNumberLevel3">
    <w:name w:val="List Number (Level 3)"/>
    <w:basedOn w:val="Normal"/>
    <w:pPr>
      <w:numPr>
        <w:ilvl w:val="2"/>
        <w:numId w:val="13"/>
      </w:numPr>
    </w:pPr>
  </w:style>
  <w:style w:type="paragraph" w:customStyle="1" w:styleId="ListNumberLevel4">
    <w:name w:val="List Number (Level 4)"/>
    <w:basedOn w:val="Normal"/>
    <w:pPr>
      <w:numPr>
        <w:ilvl w:val="3"/>
        <w:numId w:val="13"/>
      </w:numPr>
    </w:pPr>
  </w:style>
  <w:style w:type="paragraph" w:customStyle="1" w:styleId="ListNumber1">
    <w:name w:val="List Number 1"/>
    <w:basedOn w:val="Text1"/>
    <w:pPr>
      <w:numPr>
        <w:numId w:val="14"/>
      </w:numPr>
    </w:pPr>
  </w:style>
  <w:style w:type="paragraph" w:customStyle="1" w:styleId="ListNumber1Level2">
    <w:name w:val="List Number 1 (Level 2)"/>
    <w:basedOn w:val="Text1"/>
    <w:pPr>
      <w:numPr>
        <w:ilvl w:val="1"/>
        <w:numId w:val="14"/>
      </w:numPr>
    </w:pPr>
  </w:style>
  <w:style w:type="paragraph" w:customStyle="1" w:styleId="ListNumber1Level3">
    <w:name w:val="List Number 1 (Level 3)"/>
    <w:basedOn w:val="Text1"/>
    <w:pPr>
      <w:numPr>
        <w:ilvl w:val="2"/>
        <w:numId w:val="14"/>
      </w:numPr>
    </w:pPr>
  </w:style>
  <w:style w:type="paragraph" w:customStyle="1" w:styleId="ListNumber1Level4">
    <w:name w:val="List Number 1 (Level 4)"/>
    <w:basedOn w:val="Text1"/>
    <w:pPr>
      <w:numPr>
        <w:ilvl w:val="3"/>
        <w:numId w:val="14"/>
      </w:numPr>
    </w:pPr>
  </w:style>
  <w:style w:type="paragraph" w:customStyle="1" w:styleId="ListNumber2Level2">
    <w:name w:val="List Number 2 (Level 2)"/>
    <w:basedOn w:val="Text2"/>
    <w:pPr>
      <w:numPr>
        <w:ilvl w:val="1"/>
        <w:numId w:val="15"/>
      </w:numPr>
      <w:tabs>
        <w:tab w:val="clear" w:pos="2302"/>
      </w:tabs>
    </w:pPr>
  </w:style>
  <w:style w:type="paragraph" w:customStyle="1" w:styleId="ListNumber2Level3">
    <w:name w:val="List Number 2 (Level 3)"/>
    <w:basedOn w:val="Text2"/>
    <w:pPr>
      <w:numPr>
        <w:ilvl w:val="2"/>
        <w:numId w:val="15"/>
      </w:numPr>
      <w:tabs>
        <w:tab w:val="clear" w:pos="2302"/>
      </w:tabs>
    </w:pPr>
  </w:style>
  <w:style w:type="paragraph" w:customStyle="1" w:styleId="ListNumber2Level4">
    <w:name w:val="List Number 2 (Level 4)"/>
    <w:basedOn w:val="Text2"/>
    <w:pPr>
      <w:numPr>
        <w:ilvl w:val="3"/>
        <w:numId w:val="15"/>
      </w:numPr>
      <w:tabs>
        <w:tab w:val="clear" w:pos="2302"/>
      </w:tabs>
    </w:pPr>
  </w:style>
  <w:style w:type="paragraph" w:customStyle="1" w:styleId="ListNumber3Level2">
    <w:name w:val="List Number 3 (Level 2)"/>
    <w:basedOn w:val="Text3"/>
    <w:pPr>
      <w:numPr>
        <w:ilvl w:val="1"/>
        <w:numId w:val="16"/>
      </w:numPr>
      <w:tabs>
        <w:tab w:val="clear" w:pos="2302"/>
      </w:tabs>
    </w:pPr>
  </w:style>
  <w:style w:type="paragraph" w:customStyle="1" w:styleId="ListNumber3Level3">
    <w:name w:val="List Number 3 (Level 3)"/>
    <w:basedOn w:val="Text3"/>
    <w:pPr>
      <w:numPr>
        <w:ilvl w:val="2"/>
        <w:numId w:val="16"/>
      </w:numPr>
      <w:tabs>
        <w:tab w:val="clear" w:pos="2302"/>
      </w:tabs>
    </w:pPr>
  </w:style>
  <w:style w:type="paragraph" w:customStyle="1" w:styleId="ListNumber3Level4">
    <w:name w:val="List Number 3 (Level 4)"/>
    <w:basedOn w:val="Text3"/>
    <w:pPr>
      <w:numPr>
        <w:ilvl w:val="3"/>
        <w:numId w:val="16"/>
      </w:numPr>
      <w:tabs>
        <w:tab w:val="clear" w:pos="2302"/>
      </w:tabs>
    </w:pPr>
  </w:style>
  <w:style w:type="paragraph" w:customStyle="1" w:styleId="ListNumber4Level2">
    <w:name w:val="List Number 4 (Level 2)"/>
    <w:basedOn w:val="Text4"/>
    <w:pPr>
      <w:numPr>
        <w:ilvl w:val="1"/>
        <w:numId w:val="17"/>
      </w:numPr>
      <w:tabs>
        <w:tab w:val="clear" w:pos="2302"/>
      </w:tabs>
    </w:pPr>
  </w:style>
  <w:style w:type="paragraph" w:customStyle="1" w:styleId="ListNumber4Level3">
    <w:name w:val="List Number 4 (Level 3)"/>
    <w:basedOn w:val="Text4"/>
    <w:pPr>
      <w:numPr>
        <w:ilvl w:val="2"/>
        <w:numId w:val="17"/>
      </w:numPr>
      <w:tabs>
        <w:tab w:val="clear" w:pos="2302"/>
      </w:tabs>
    </w:pPr>
  </w:style>
  <w:style w:type="paragraph" w:customStyle="1" w:styleId="ListNumber4Level4">
    <w:name w:val="List Number 4 (Level 4)"/>
    <w:basedOn w:val="Text4"/>
    <w:pPr>
      <w:numPr>
        <w:ilvl w:val="3"/>
        <w:numId w:val="17"/>
      </w:numPr>
      <w:tabs>
        <w:tab w:val="clear" w:pos="2302"/>
      </w:tabs>
    </w:pPr>
  </w:style>
  <w:style w:type="paragraph" w:styleId="TOCHeading">
    <w:name w:val="TOC Heading"/>
    <w:basedOn w:val="Normal"/>
    <w:next w:val="Normal"/>
    <w:uiPriority w:val="39"/>
    <w:qFormat/>
    <w:pPr>
      <w:keepNext/>
      <w:spacing w:before="240"/>
      <w:jc w:val="center"/>
    </w:pPr>
    <w:rPr>
      <w:b/>
    </w:rPr>
  </w:style>
  <w:style w:type="paragraph" w:customStyle="1" w:styleId="Contact">
    <w:name w:val="Contact"/>
    <w:basedOn w:val="Normal"/>
    <w:next w:val="Normal"/>
    <w:uiPriority w:val="99"/>
    <w:pPr>
      <w:spacing w:after="480"/>
      <w:ind w:left="567" w:hanging="567"/>
      <w:jc w:val="left"/>
    </w:pPr>
  </w:style>
  <w:style w:type="paragraph" w:customStyle="1" w:styleId="Designator">
    <w:name w:val="Designator"/>
    <w:basedOn w:val="Normal"/>
    <w:pPr>
      <w:spacing w:after="0"/>
      <w:jc w:val="center"/>
    </w:pPr>
    <w:rPr>
      <w:b/>
      <w:caps/>
      <w:sz w:val="32"/>
    </w:rPr>
  </w:style>
  <w:style w:type="paragraph" w:customStyle="1" w:styleId="Releasable">
    <w:name w:val="Releasable"/>
    <w:basedOn w:val="Normal"/>
    <w:qFormat/>
    <w:pPr>
      <w:spacing w:after="0"/>
      <w:jc w:val="center"/>
    </w:pPr>
    <w:rPr>
      <w:b/>
      <w:caps/>
      <w:sz w:val="32"/>
      <w:lang w:val="de-DE"/>
    </w:rPr>
  </w:style>
  <w:style w:type="paragraph" w:customStyle="1" w:styleId="RUE">
    <w:name w:val="RUE"/>
    <w:basedOn w:val="Normal"/>
    <w:pPr>
      <w:spacing w:after="0"/>
      <w:jc w:val="center"/>
    </w:pPr>
    <w:rPr>
      <w:b/>
      <w:caps/>
      <w:sz w:val="32"/>
      <w:bdr w:val="single" w:sz="18" w:space="0" w:color="auto"/>
      <w:lang w:val="de-DE"/>
    </w:rPr>
  </w:style>
  <w:style w:type="paragraph" w:customStyle="1" w:styleId="ConfidentialUE">
    <w:name w:val="Confidential UE"/>
    <w:basedOn w:val="Normal"/>
    <w:pPr>
      <w:spacing w:after="0"/>
      <w:jc w:val="center"/>
    </w:pPr>
    <w:rPr>
      <w:b/>
      <w:caps/>
      <w:sz w:val="32"/>
      <w:bdr w:val="single" w:sz="18" w:space="0" w:color="auto"/>
    </w:rPr>
  </w:style>
  <w:style w:type="paragraph" w:customStyle="1" w:styleId="SecretUE">
    <w:name w:val="Secret UE"/>
    <w:basedOn w:val="Normal"/>
    <w:pPr>
      <w:spacing w:after="0"/>
      <w:jc w:val="center"/>
    </w:pPr>
    <w:rPr>
      <w:b/>
      <w:caps/>
      <w:color w:val="FF0000"/>
      <w:sz w:val="32"/>
      <w:bdr w:val="single" w:sz="18" w:space="0" w:color="FF0000"/>
    </w:rPr>
  </w:style>
  <w:style w:type="paragraph" w:customStyle="1" w:styleId="TrsSecretUE">
    <w:name w:val="Très Secret UE"/>
    <w:basedOn w:val="Normal"/>
    <w:pPr>
      <w:spacing w:after="0"/>
      <w:jc w:val="center"/>
    </w:pPr>
    <w:rPr>
      <w:b/>
      <w:caps/>
      <w:color w:val="FF0000"/>
      <w:sz w:val="32"/>
      <w:bdr w:val="single" w:sz="18" w:space="0" w:color="FF0000"/>
    </w:rPr>
  </w:style>
  <w:style w:type="character" w:customStyle="1" w:styleId="FooterChar">
    <w:name w:val="Footer Char"/>
    <w:link w:val="Footer"/>
    <w:uiPriority w:val="99"/>
    <w:rsid w:val="00B538D8"/>
    <w:rPr>
      <w:rFonts w:ascii="Arial" w:hAnsi="Arial"/>
      <w:sz w:val="16"/>
      <w:lang w:eastAsia="en-US"/>
    </w:rPr>
  </w:style>
  <w:style w:type="paragraph" w:customStyle="1" w:styleId="ZCom">
    <w:name w:val="Z_Com"/>
    <w:basedOn w:val="Normal"/>
    <w:next w:val="ZDGName"/>
    <w:uiPriority w:val="99"/>
    <w:rsid w:val="00B538D8"/>
    <w:pPr>
      <w:widowControl w:val="0"/>
      <w:autoSpaceDE w:val="0"/>
      <w:autoSpaceDN w:val="0"/>
      <w:spacing w:after="0"/>
      <w:ind w:right="85"/>
    </w:pPr>
    <w:rPr>
      <w:rFonts w:ascii="Arial" w:hAnsi="Arial" w:cs="Arial"/>
      <w:szCs w:val="24"/>
      <w:lang w:eastAsia="en-GB"/>
    </w:rPr>
  </w:style>
  <w:style w:type="paragraph" w:customStyle="1" w:styleId="ZDGName">
    <w:name w:val="Z_DGName"/>
    <w:basedOn w:val="Normal"/>
    <w:uiPriority w:val="99"/>
    <w:rsid w:val="00B538D8"/>
    <w:pPr>
      <w:widowControl w:val="0"/>
      <w:autoSpaceDE w:val="0"/>
      <w:autoSpaceDN w:val="0"/>
      <w:spacing w:after="0"/>
      <w:ind w:right="85"/>
      <w:jc w:val="left"/>
    </w:pPr>
    <w:rPr>
      <w:rFonts w:ascii="Arial" w:hAnsi="Arial" w:cs="Arial"/>
      <w:sz w:val="16"/>
      <w:szCs w:val="16"/>
      <w:lang w:eastAsia="en-GB"/>
    </w:rPr>
  </w:style>
  <w:style w:type="character" w:customStyle="1" w:styleId="HeaderChar">
    <w:name w:val="Header Char"/>
    <w:link w:val="Header"/>
    <w:uiPriority w:val="99"/>
    <w:rsid w:val="00B538D8"/>
    <w:rPr>
      <w:sz w:val="24"/>
      <w:lang w:eastAsia="en-US"/>
    </w:rPr>
  </w:style>
  <w:style w:type="character" w:styleId="Hyperlink">
    <w:name w:val="Hyperlink"/>
    <w:uiPriority w:val="99"/>
    <w:unhideWhenUsed/>
    <w:rsid w:val="00BF61CA"/>
    <w:rPr>
      <w:color w:val="0000FF"/>
      <w:u w:val="single"/>
    </w:rPr>
  </w:style>
  <w:style w:type="paragraph" w:styleId="BalloonText">
    <w:name w:val="Balloon Text"/>
    <w:basedOn w:val="Normal"/>
    <w:link w:val="BalloonTextChar"/>
    <w:uiPriority w:val="99"/>
    <w:semiHidden/>
    <w:unhideWhenUsed/>
    <w:rsid w:val="00AF341F"/>
    <w:pPr>
      <w:spacing w:after="0"/>
    </w:pPr>
    <w:rPr>
      <w:rFonts w:ascii="Tahoma" w:hAnsi="Tahoma" w:cs="Tahoma"/>
      <w:sz w:val="16"/>
      <w:szCs w:val="16"/>
    </w:rPr>
  </w:style>
  <w:style w:type="character" w:customStyle="1" w:styleId="BalloonTextChar">
    <w:name w:val="Balloon Text Char"/>
    <w:link w:val="BalloonText"/>
    <w:uiPriority w:val="99"/>
    <w:semiHidden/>
    <w:rsid w:val="00AF341F"/>
    <w:rPr>
      <w:rFonts w:ascii="Tahoma" w:hAnsi="Tahoma" w:cs="Tahoma"/>
      <w:sz w:val="16"/>
      <w:szCs w:val="16"/>
      <w:lang w:eastAsia="en-US"/>
    </w:rPr>
  </w:style>
  <w:style w:type="character" w:customStyle="1" w:styleId="Heading4Char">
    <w:name w:val="Heading 4 Char"/>
    <w:link w:val="Heading4"/>
    <w:rsid w:val="00554619"/>
    <w:rPr>
      <w:i/>
      <w:color w:val="000000"/>
      <w:sz w:val="24"/>
      <w:lang w:val="fr-BE"/>
    </w:rPr>
  </w:style>
  <w:style w:type="paragraph" w:customStyle="1" w:styleId="FITTable">
    <w:name w:val="FIT Table"/>
    <w:basedOn w:val="Normal"/>
    <w:rsid w:val="00DB72E9"/>
    <w:pPr>
      <w:spacing w:before="60" w:after="60"/>
    </w:pPr>
    <w:rPr>
      <w:sz w:val="22"/>
    </w:rPr>
  </w:style>
  <w:style w:type="character" w:customStyle="1" w:styleId="TitleChar">
    <w:name w:val="Title Char"/>
    <w:link w:val="Title"/>
    <w:rsid w:val="00DB72E9"/>
    <w:rPr>
      <w:b/>
      <w:kern w:val="28"/>
      <w:sz w:val="48"/>
      <w:lang w:eastAsia="en-US"/>
    </w:rPr>
  </w:style>
  <w:style w:type="table" w:styleId="TableGrid">
    <w:name w:val="Table Grid"/>
    <w:basedOn w:val="TableNormal"/>
    <w:uiPriority w:val="59"/>
    <w:rsid w:val="00D63843"/>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Guidelines">
    <w:name w:val="Guidelines"/>
    <w:basedOn w:val="Text2"/>
    <w:link w:val="GuidelinesChar"/>
    <w:rsid w:val="00120799"/>
    <w:pPr>
      <w:pBdr>
        <w:top w:val="single" w:sz="4" w:space="1" w:color="auto"/>
        <w:left w:val="single" w:sz="4" w:space="4" w:color="auto"/>
        <w:bottom w:val="single" w:sz="4" w:space="1" w:color="auto"/>
        <w:right w:val="single" w:sz="4" w:space="4" w:color="auto"/>
      </w:pBdr>
      <w:ind w:left="0"/>
    </w:pPr>
    <w:rPr>
      <w:color w:val="4F81BD"/>
    </w:rPr>
  </w:style>
  <w:style w:type="character" w:customStyle="1" w:styleId="Text2Char">
    <w:name w:val="Text 2 Char"/>
    <w:link w:val="Text2"/>
    <w:rsid w:val="00120799"/>
    <w:rPr>
      <w:sz w:val="24"/>
      <w:lang w:eastAsia="en-US"/>
    </w:rPr>
  </w:style>
  <w:style w:type="character" w:customStyle="1" w:styleId="GuidelinesChar">
    <w:name w:val="Guidelines Char"/>
    <w:link w:val="Guidelines"/>
    <w:rsid w:val="00120799"/>
    <w:rPr>
      <w:color w:val="4F81BD"/>
      <w:sz w:val="24"/>
      <w:lang w:eastAsia="en-US"/>
    </w:rPr>
  </w:style>
  <w:style w:type="character" w:styleId="FootnoteReference">
    <w:name w:val="footnote reference"/>
    <w:uiPriority w:val="99"/>
    <w:semiHidden/>
    <w:unhideWhenUsed/>
    <w:rsid w:val="00D56D3F"/>
    <w:rPr>
      <w:vertAlign w:val="superscript"/>
    </w:rPr>
  </w:style>
  <w:style w:type="table" w:customStyle="1" w:styleId="TableGrid1">
    <w:name w:val="Table Grid1"/>
    <w:basedOn w:val="TableNormal"/>
    <w:next w:val="TableGrid"/>
    <w:rsid w:val="00990D9F"/>
    <w:rPr>
      <w:rFonts w:eastAsia="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ing2Char">
    <w:name w:val="Heading 2 Char"/>
    <w:link w:val="Heading2"/>
    <w:rsid w:val="00E272CB"/>
    <w:rPr>
      <w:b/>
      <w:sz w:val="24"/>
      <w:lang w:val="fr-BE"/>
    </w:rPr>
  </w:style>
  <w:style w:type="character" w:customStyle="1" w:styleId="Heading3Char">
    <w:name w:val="Heading 3 Char"/>
    <w:link w:val="Heading3"/>
    <w:rsid w:val="00F235A7"/>
    <w:rPr>
      <w:color w:val="000000"/>
      <w:sz w:val="24"/>
      <w:lang w:val="fr-BE"/>
    </w:rPr>
  </w:style>
  <w:style w:type="paragraph" w:styleId="ListParagraph">
    <w:name w:val="List Paragraph"/>
    <w:basedOn w:val="Normal"/>
    <w:uiPriority w:val="34"/>
    <w:qFormat/>
    <w:rsid w:val="00592E64"/>
    <w:pPr>
      <w:ind w:left="720"/>
      <w:contextualSpacing/>
    </w:pPr>
  </w:style>
  <w:style w:type="numbering" w:customStyle="1" w:styleId="Headings">
    <w:name w:val="Headings"/>
    <w:uiPriority w:val="99"/>
    <w:rsid w:val="00162E7B"/>
    <w:pPr>
      <w:numPr>
        <w:numId w:val="18"/>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numbering" w:customStyle="1" w:styleId="Text1">
    <w:name w:val="Headings"/>
    <w:pPr>
      <w:numPr>
        <w:numId w:val="18"/>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image" Target="media/image7.jpeg"/><Relationship Id="rId26" Type="http://schemas.openxmlformats.org/officeDocument/2006/relationships/image" Target="media/image15.jpeg"/><Relationship Id="rId3" Type="http://schemas.openxmlformats.org/officeDocument/2006/relationships/styles" Target="styles.xml"/><Relationship Id="rId21" Type="http://schemas.openxmlformats.org/officeDocument/2006/relationships/image" Target="media/image10.jpeg"/><Relationship Id="rId34" Type="http://schemas.openxmlformats.org/officeDocument/2006/relationships/image" Target="media/image23.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22.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image" Target="media/image9.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25.jpeg"/><Relationship Id="rId10" Type="http://schemas.openxmlformats.org/officeDocument/2006/relationships/image" Target="media/image2.png"/><Relationship Id="rId19" Type="http://schemas.openxmlformats.org/officeDocument/2006/relationships/image" Target="media/image8.jpeg"/><Relationship Id="rId31" Type="http://schemas.openxmlformats.org/officeDocument/2006/relationships/image" Target="media/image20.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3.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image" Target="media/image24.jpe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ublic\Documents\Templates\REP.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927020-FD2B-4224-AE7E-3A725442028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REP</Template>
  <TotalTime>1</TotalTime>
  <Pages>87</Pages>
  <Words>46092</Words>
  <Characters>262728</Characters>
  <Application>Microsoft Office Word</Application>
  <DocSecurity>0</DocSecurity>
  <Lines>2189</Lines>
  <Paragraphs>616</Paragraphs>
  <ScaleCrop>false</ScaleCrop>
  <HeadingPairs>
    <vt:vector size="2" baseType="variant">
      <vt:variant>
        <vt:lpstr>Title</vt:lpstr>
      </vt:variant>
      <vt:variant>
        <vt:i4>1</vt:i4>
      </vt:variant>
    </vt:vector>
  </HeadingPairs>
  <TitlesOfParts>
    <vt:vector size="1" baseType="lpstr">
      <vt:lpstr>Title of the RDP</vt:lpstr>
    </vt:vector>
  </TitlesOfParts>
  <Company>Member State Name</Company>
  <LinksUpToDate>false</LinksUpToDate>
  <CharactersWithSpaces>308204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Title of the RDP</dc:title>
  <dc:creator>Member State Authority</dc:creator>
  <cp:keywords>EL4</cp:keywords>
  <cp:lastModifiedBy>Snezhana Grigorova</cp:lastModifiedBy>
  <cp:revision>2</cp:revision>
  <cp:lastPrinted>2013-05-31T11:39:00Z</cp:lastPrinted>
  <dcterms:created xsi:type="dcterms:W3CDTF">2017-08-09T08:05:00Z</dcterms:created>
  <dcterms:modified xsi:type="dcterms:W3CDTF">2017-08-09T08:05:00Z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
    <vt:lpwstr/>
  </property>
  <property fmtid="{D5CDD505-2E9C-101B-9397-08002B2CF9AE}" pid="3" name="Contributor">
    <vt:lpwstr/>
  </property>
  <property fmtid="{D5CDD505-2E9C-101B-9397-08002B2CF9AE}" pid="4" name="Created using">
    <vt:lpwstr>EL 4.6 Build 21000</vt:lpwstr>
  </property>
  <property fmtid="{D5CDD505-2E9C-101B-9397-08002B2CF9AE}" pid="5" name="Creator">
    <vt:lpwstr/>
  </property>
  <property fmtid="{D5CDD505-2E9C-101B-9397-08002B2CF9AE}" pid="6" name="DateAlarm">
    <vt:lpwstr/>
  </property>
  <property fmtid="{D5CDD505-2E9C-101B-9397-08002B2CF9AE}" pid="7" name="DatePublication">
    <vt:lpwstr/>
  </property>
  <property fmtid="{D5CDD505-2E9C-101B-9397-08002B2CF9AE}" pid="8" name="Description">
    <vt:lpwstr/>
  </property>
  <property fmtid="{D5CDD505-2E9C-101B-9397-08002B2CF9AE}" pid="9" name="DocID_EU">
    <vt:lpwstr> </vt:lpwstr>
  </property>
  <property fmtid="{D5CDD505-2E9C-101B-9397-08002B2CF9AE}" pid="10" name="ELDocType">
    <vt:lpwstr>rep.dot</vt:lpwstr>
  </property>
  <property fmtid="{D5CDD505-2E9C-101B-9397-08002B2CF9AE}" pid="11" name="EL_Author">
    <vt:lpwstr>Vallet Marc (Everis)</vt:lpwstr>
  </property>
  <property fmtid="{D5CDD505-2E9C-101B-9397-08002B2CF9AE}" pid="12" name="EL_Language">
    <vt:lpwstr>EN</vt:lpwstr>
  </property>
  <property fmtid="{D5CDD505-2E9C-101B-9397-08002B2CF9AE}" pid="13" name="EurolookVersion">
    <vt:lpwstr>4.5</vt:lpwstr>
  </property>
  <property fmtid="{D5CDD505-2E9C-101B-9397-08002B2CF9AE}" pid="14" name="Formatting">
    <vt:lpwstr>4.1</vt:lpwstr>
  </property>
  <property fmtid="{D5CDD505-2E9C-101B-9397-08002B2CF9AE}" pid="15" name="Language">
    <vt:lpwstr>EN</vt:lpwstr>
  </property>
  <property fmtid="{D5CDD505-2E9C-101B-9397-08002B2CF9AE}" pid="16" name="Last edited using">
    <vt:lpwstr>EL 4.6 Build 34000</vt:lpwstr>
  </property>
  <property fmtid="{D5CDD505-2E9C-101B-9397-08002B2CF9AE}" pid="17" name="Publisher">
    <vt:lpwstr/>
  </property>
  <property fmtid="{D5CDD505-2E9C-101B-9397-08002B2CF9AE}" pid="18" name="Reference">
    <vt:lpwstr/>
  </property>
  <property fmtid="{D5CDD505-2E9C-101B-9397-08002B2CF9AE}" pid="19" name="Rights">
    <vt:lpwstr/>
  </property>
  <property fmtid="{D5CDD505-2E9C-101B-9397-08002B2CF9AE}" pid="20" name="TemplateVersion">
    <vt:lpwstr>4.5.0.2</vt:lpwstr>
  </property>
  <property fmtid="{D5CDD505-2E9C-101B-9397-08002B2CF9AE}" pid="21" name="Type">
    <vt:lpwstr>Eurolook Report</vt:lpwstr>
  </property>
</Properties>
</file>